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17" w:rsidRPr="00834017" w:rsidRDefault="005B6483" w:rsidP="008340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Offtaker of Last Resort Advisory Group – </w:t>
      </w:r>
      <w:r w:rsidR="00152B75">
        <w:rPr>
          <w:rFonts w:ascii="Arial" w:hAnsi="Arial" w:cs="Arial"/>
          <w:b/>
          <w:sz w:val="28"/>
          <w:szCs w:val="28"/>
        </w:rPr>
        <w:t>First</w:t>
      </w:r>
      <w:r>
        <w:rPr>
          <w:rFonts w:ascii="Arial" w:hAnsi="Arial" w:cs="Arial"/>
          <w:b/>
          <w:sz w:val="28"/>
          <w:szCs w:val="28"/>
        </w:rPr>
        <w:t xml:space="preserve"> Meeting</w:t>
      </w:r>
    </w:p>
    <w:p w:rsidR="00834017" w:rsidRPr="00834017" w:rsidRDefault="0061664A" w:rsidP="008340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Wednesday</w:t>
      </w:r>
      <w:r w:rsidR="002F4A00">
        <w:rPr>
          <w:rFonts w:ascii="Arial" w:hAnsi="Arial" w:cs="Arial"/>
          <w:b/>
          <w:sz w:val="28"/>
          <w:szCs w:val="28"/>
        </w:rPr>
        <w:t xml:space="preserve"> </w:t>
      </w:r>
      <w:r w:rsidR="005B6483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  <w:vertAlign w:val="superscript"/>
        </w:rPr>
        <w:t>nd</w:t>
      </w:r>
      <w:r>
        <w:rPr>
          <w:rFonts w:ascii="Arial" w:hAnsi="Arial" w:cs="Arial"/>
          <w:b/>
          <w:sz w:val="28"/>
          <w:szCs w:val="28"/>
        </w:rPr>
        <w:t xml:space="preserve"> October 2013 11:00 – 13</w:t>
      </w:r>
      <w:r w:rsidR="00834017" w:rsidRPr="00834017">
        <w:rPr>
          <w:rFonts w:ascii="Arial" w:hAnsi="Arial" w:cs="Arial"/>
          <w:b/>
          <w:sz w:val="28"/>
          <w:szCs w:val="28"/>
        </w:rPr>
        <w:t>:</w:t>
      </w:r>
      <w:r w:rsidR="00743826">
        <w:rPr>
          <w:rFonts w:ascii="Arial" w:hAnsi="Arial" w:cs="Arial"/>
          <w:b/>
          <w:sz w:val="28"/>
          <w:szCs w:val="28"/>
        </w:rPr>
        <w:t>00</w:t>
      </w:r>
    </w:p>
    <w:p w:rsidR="000062F8" w:rsidRDefault="00D91ADA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Minutes and actions</w:t>
      </w:r>
    </w:p>
    <w:p w:rsidR="00533527" w:rsidRDefault="00533527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30BF1" w:rsidRPr="00533527" w:rsidRDefault="00830BF1" w:rsidP="005335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3527">
        <w:rPr>
          <w:rFonts w:ascii="Arial" w:hAnsi="Arial" w:cs="Arial"/>
          <w:b/>
          <w:sz w:val="24"/>
          <w:szCs w:val="24"/>
        </w:rPr>
        <w:t>Attendees:</w:t>
      </w:r>
    </w:p>
    <w:p w:rsidR="0045161A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5161A" w:rsidRPr="00533527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DECC attendees</w:t>
      </w:r>
      <w:r w:rsidRPr="00533527">
        <w:rPr>
          <w:rFonts w:ascii="Arial" w:hAnsi="Arial" w:cs="Arial"/>
          <w:b/>
          <w:sz w:val="24"/>
          <w:szCs w:val="24"/>
          <w:u w:val="single"/>
        </w:rPr>
        <w:t>:</w:t>
      </w:r>
    </w:p>
    <w:p w:rsidR="0045161A" w:rsidRDefault="002B6D5C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Alex Weir</w:t>
      </w:r>
      <w:r w:rsidR="0045161A">
        <w:rPr>
          <w:rFonts w:ascii="Arial" w:hAnsi="Arial" w:cs="Arial"/>
          <w:sz w:val="24"/>
          <w:szCs w:val="24"/>
        </w:rPr>
        <w:t xml:space="preserve"> (chair)</w:t>
      </w:r>
    </w:p>
    <w:p w:rsidR="002F4A00" w:rsidRDefault="002F4A00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 Warham</w:t>
      </w:r>
    </w:p>
    <w:p w:rsidR="0045161A" w:rsidRDefault="00923067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Darryl Croft</w:t>
      </w:r>
    </w:p>
    <w:p w:rsidR="00923067" w:rsidRDefault="00923067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Matt Coyne</w:t>
      </w:r>
    </w:p>
    <w:p w:rsidR="0045161A" w:rsidRPr="00846EE2" w:rsidRDefault="0045161A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Jessica Henry</w:t>
      </w:r>
    </w:p>
    <w:p w:rsidR="00533527" w:rsidRPr="00533527" w:rsidRDefault="00533527" w:rsidP="00533527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E79F4" w:rsidRPr="00533527" w:rsidRDefault="00B378E4" w:rsidP="00533527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Group </w:t>
      </w:r>
      <w:r w:rsidR="00CE79F4" w:rsidRPr="00533527">
        <w:rPr>
          <w:rFonts w:ascii="Arial" w:hAnsi="Arial" w:cs="Arial"/>
          <w:b/>
          <w:sz w:val="24"/>
          <w:szCs w:val="24"/>
          <w:u w:val="single"/>
        </w:rPr>
        <w:t>members:</w:t>
      </w:r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Maria Paz Garcia </w:t>
      </w:r>
      <w:proofErr w:type="spellStart"/>
      <w:r>
        <w:rPr>
          <w:rFonts w:ascii="Arial" w:hAnsi="Arial" w:cs="Arial"/>
          <w:sz w:val="24"/>
          <w:szCs w:val="24"/>
        </w:rPr>
        <w:t>Alajarin</w:t>
      </w:r>
      <w:proofErr w:type="spellEnd"/>
      <w:r>
        <w:rPr>
          <w:rFonts w:ascii="Arial" w:hAnsi="Arial" w:cs="Arial"/>
          <w:sz w:val="24"/>
          <w:szCs w:val="24"/>
        </w:rPr>
        <w:t>, EDP Renewables</w:t>
      </w:r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Andrew </w:t>
      </w:r>
      <w:proofErr w:type="spellStart"/>
      <w:r>
        <w:rPr>
          <w:rFonts w:ascii="Arial" w:hAnsi="Arial" w:cs="Arial"/>
          <w:sz w:val="24"/>
          <w:szCs w:val="24"/>
        </w:rPr>
        <w:t>MacLellan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Energos</w:t>
      </w:r>
      <w:proofErr w:type="spellEnd"/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Ravi </w:t>
      </w:r>
      <w:proofErr w:type="spellStart"/>
      <w:r>
        <w:rPr>
          <w:rFonts w:ascii="Arial" w:hAnsi="Arial" w:cs="Arial"/>
          <w:sz w:val="24"/>
          <w:szCs w:val="24"/>
        </w:rPr>
        <w:t>Baga</w:t>
      </w:r>
      <w:proofErr w:type="spellEnd"/>
      <w:r>
        <w:rPr>
          <w:rFonts w:ascii="Arial" w:hAnsi="Arial" w:cs="Arial"/>
          <w:sz w:val="24"/>
          <w:szCs w:val="24"/>
        </w:rPr>
        <w:t>, EDF</w:t>
      </w:r>
    </w:p>
    <w:p w:rsidR="00C72A23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Noble, Scottish Power</w:t>
      </w:r>
    </w:p>
    <w:p w:rsidR="00C72A23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Christian </w:t>
      </w:r>
      <w:proofErr w:type="spellStart"/>
      <w:r>
        <w:rPr>
          <w:rFonts w:ascii="Arial" w:hAnsi="Arial" w:cs="Arial"/>
          <w:sz w:val="24"/>
          <w:szCs w:val="24"/>
        </w:rPr>
        <w:t>Pegrum</w:t>
      </w:r>
      <w:proofErr w:type="spellEnd"/>
      <w:r>
        <w:rPr>
          <w:rFonts w:ascii="Arial" w:hAnsi="Arial" w:cs="Arial"/>
          <w:sz w:val="24"/>
          <w:szCs w:val="24"/>
        </w:rPr>
        <w:t>, Eon</w:t>
      </w:r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Owens, Smartest Energy</w:t>
      </w:r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Keith Patterson, </w:t>
      </w:r>
      <w:proofErr w:type="spellStart"/>
      <w:r>
        <w:rPr>
          <w:rFonts w:ascii="Arial" w:hAnsi="Arial" w:cs="Arial"/>
          <w:sz w:val="24"/>
          <w:szCs w:val="24"/>
        </w:rPr>
        <w:t>Brodies</w:t>
      </w:r>
      <w:proofErr w:type="spellEnd"/>
    </w:p>
    <w:p w:rsidR="00923067" w:rsidRDefault="00923067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Phil Broom, GDF Suez</w:t>
      </w:r>
    </w:p>
    <w:p w:rsidR="00923067" w:rsidRDefault="00923067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Charlie </w:t>
      </w:r>
      <w:proofErr w:type="spellStart"/>
      <w:r>
        <w:rPr>
          <w:rFonts w:ascii="Arial" w:hAnsi="Arial" w:cs="Arial"/>
          <w:sz w:val="24"/>
          <w:szCs w:val="24"/>
        </w:rPr>
        <w:t>Garrood</w:t>
      </w:r>
      <w:proofErr w:type="spellEnd"/>
      <w:r>
        <w:rPr>
          <w:rFonts w:ascii="Arial" w:hAnsi="Arial" w:cs="Arial"/>
          <w:sz w:val="24"/>
          <w:szCs w:val="24"/>
        </w:rPr>
        <w:t>, PwC</w:t>
      </w:r>
    </w:p>
    <w:p w:rsidR="00923067" w:rsidRDefault="00923067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Konstantin </w:t>
      </w:r>
      <w:proofErr w:type="spellStart"/>
      <w:r>
        <w:rPr>
          <w:rFonts w:ascii="Arial" w:hAnsi="Arial" w:cs="Arial"/>
          <w:sz w:val="24"/>
          <w:szCs w:val="24"/>
        </w:rPr>
        <w:t>Suplatov</w:t>
      </w:r>
      <w:proofErr w:type="spellEnd"/>
      <w:r>
        <w:rPr>
          <w:rFonts w:ascii="Arial" w:hAnsi="Arial" w:cs="Arial"/>
          <w:sz w:val="24"/>
          <w:szCs w:val="24"/>
        </w:rPr>
        <w:t>, PwC</w:t>
      </w:r>
    </w:p>
    <w:p w:rsidR="00351649" w:rsidRDefault="00351649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Martin Bell, Ofgem</w:t>
      </w:r>
    </w:p>
    <w:p w:rsidR="00923067" w:rsidRDefault="00923067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Richard Dunkley, Banks Renewables – standing in for David Handley</w:t>
      </w:r>
    </w:p>
    <w:p w:rsidR="0045161A" w:rsidRDefault="0045161A" w:rsidP="005335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95F" w:rsidRPr="00E052B7" w:rsidRDefault="00E3095F" w:rsidP="00E3095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052B7">
        <w:rPr>
          <w:rFonts w:ascii="Arial" w:hAnsi="Arial" w:cs="Arial"/>
          <w:b/>
          <w:sz w:val="24"/>
          <w:szCs w:val="24"/>
          <w:u w:val="single"/>
        </w:rPr>
        <w:t>Apologies:</w:t>
      </w:r>
    </w:p>
    <w:p w:rsidR="00E3095F" w:rsidRDefault="00351649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 Cosh, Green Company </w:t>
      </w:r>
    </w:p>
    <w:p w:rsidR="00351649" w:rsidRDefault="00923067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Simon Proctor, Good Energy </w:t>
      </w:r>
    </w:p>
    <w:p w:rsidR="00923067" w:rsidRDefault="00923067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Rifai</w:t>
      </w:r>
      <w:proofErr w:type="spellEnd"/>
      <w:r>
        <w:rPr>
          <w:rFonts w:ascii="Arial" w:hAnsi="Arial" w:cs="Arial"/>
          <w:sz w:val="24"/>
          <w:szCs w:val="24"/>
        </w:rPr>
        <w:t>, Paradigm Change Capital Partners LLP</w:t>
      </w:r>
    </w:p>
    <w:p w:rsidR="00923067" w:rsidRPr="00C365AD" w:rsidRDefault="00923067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 Gardiner, BNP Paribas</w:t>
      </w:r>
    </w:p>
    <w:p w:rsidR="00292E94" w:rsidRPr="00D44139" w:rsidRDefault="00292E94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pPr w:leftFromText="180" w:rightFromText="180" w:vertAnchor="text" w:horzAnchor="margin" w:tblpX="-68" w:tblpY="248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93"/>
        <w:gridCol w:w="41"/>
        <w:gridCol w:w="3079"/>
        <w:gridCol w:w="39"/>
        <w:gridCol w:w="4394"/>
        <w:gridCol w:w="284"/>
        <w:gridCol w:w="1843"/>
        <w:gridCol w:w="635"/>
      </w:tblGrid>
      <w:tr w:rsidR="00EA1938" w:rsidRPr="00072629" w:rsidTr="003053C3">
        <w:trPr>
          <w:trHeight w:val="843"/>
        </w:trPr>
        <w:tc>
          <w:tcPr>
            <w:tcW w:w="493" w:type="dxa"/>
            <w:shd w:val="clear" w:color="auto" w:fill="FFFFFF"/>
          </w:tcPr>
          <w:p w:rsidR="00657DA3" w:rsidRPr="00072629" w:rsidRDefault="00657DA3" w:rsidP="00EA19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657DA3" w:rsidRPr="00072629" w:rsidRDefault="005B6483" w:rsidP="00EA193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Introductions</w:t>
            </w:r>
          </w:p>
        </w:tc>
        <w:tc>
          <w:tcPr>
            <w:tcW w:w="4717" w:type="dxa"/>
            <w:gridSpan w:val="3"/>
            <w:shd w:val="clear" w:color="auto" w:fill="FFFFFF"/>
          </w:tcPr>
          <w:p w:rsidR="00657DA3" w:rsidRPr="00072629" w:rsidRDefault="00657DA3" w:rsidP="00EA193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657DA3" w:rsidRPr="00072629" w:rsidRDefault="0061664A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 Warham</w:t>
            </w:r>
          </w:p>
        </w:tc>
        <w:tc>
          <w:tcPr>
            <w:tcW w:w="635" w:type="dxa"/>
            <w:shd w:val="clear" w:color="auto" w:fill="FFFFFF"/>
          </w:tcPr>
          <w:p w:rsidR="00657DA3" w:rsidRPr="00072629" w:rsidRDefault="00657DA3" w:rsidP="00EA193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A1938" w:rsidRPr="00072629" w:rsidTr="003053C3">
        <w:trPr>
          <w:trHeight w:val="1406"/>
        </w:trPr>
        <w:tc>
          <w:tcPr>
            <w:tcW w:w="10808" w:type="dxa"/>
            <w:gridSpan w:val="8"/>
            <w:shd w:val="clear" w:color="auto" w:fill="FFFFFF"/>
          </w:tcPr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322415470"/>
          </w:p>
          <w:p w:rsidR="0061664A" w:rsidRDefault="0061664A" w:rsidP="00EA19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introduced themselves to new members. </w:t>
            </w:r>
          </w:p>
          <w:p w:rsidR="0061664A" w:rsidRDefault="0061664A" w:rsidP="00EA19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  <w:r w:rsidRPr="003053C3">
              <w:rPr>
                <w:rFonts w:ascii="Arial" w:hAnsi="Arial" w:cs="Arial"/>
              </w:rPr>
              <w:t>Tim Warham summarised the objective of the meeting- to seek views on key design aspects of the OLR, focussing in this case on the allocation mechanism and offtaker identity.</w:t>
            </w:r>
          </w:p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</w:p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</w:p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</w:p>
          <w:p w:rsid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</w:p>
          <w:p w:rsidR="003053C3" w:rsidRPr="003053C3" w:rsidRDefault="003053C3" w:rsidP="00EA1938">
            <w:pPr>
              <w:spacing w:after="0" w:line="240" w:lineRule="auto"/>
              <w:rPr>
                <w:rFonts w:ascii="Arial" w:hAnsi="Arial" w:cs="Arial"/>
              </w:rPr>
            </w:pPr>
          </w:p>
          <w:p w:rsidR="000B5ED0" w:rsidRPr="00185E3C" w:rsidRDefault="000B5ED0" w:rsidP="00EA19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EA1938" w:rsidRPr="00072629" w:rsidTr="003053C3">
        <w:trPr>
          <w:trHeight w:val="715"/>
        </w:trPr>
        <w:tc>
          <w:tcPr>
            <w:tcW w:w="493" w:type="dxa"/>
            <w:shd w:val="clear" w:color="auto" w:fill="FFFFFF"/>
          </w:tcPr>
          <w:p w:rsidR="00834017" w:rsidRPr="00072629" w:rsidRDefault="00834017" w:rsidP="00EA19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834017" w:rsidRPr="00E6341C" w:rsidRDefault="005869B5" w:rsidP="00EA19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Discussion of </w:t>
            </w:r>
            <w:r w:rsidR="0061664A">
              <w:rPr>
                <w:rFonts w:ascii="Arial" w:hAnsi="Arial" w:cs="Arial"/>
                <w:b/>
                <w:sz w:val="24"/>
                <w:szCs w:val="24"/>
              </w:rPr>
              <w:t>Allocation Mechanism</w:t>
            </w:r>
          </w:p>
        </w:tc>
        <w:tc>
          <w:tcPr>
            <w:tcW w:w="4717" w:type="dxa"/>
            <w:gridSpan w:val="3"/>
            <w:shd w:val="clear" w:color="auto" w:fill="FFFFFF"/>
          </w:tcPr>
          <w:p w:rsidR="00834017" w:rsidRDefault="0061664A" w:rsidP="00EA1938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Paper 1.01 Allocation </w:t>
            </w:r>
            <w:r w:rsidR="005869B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451A4" w:rsidRPr="00E6341C" w:rsidRDefault="001451A4" w:rsidP="00EA1938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Baringa Papers 1A and 1B</w:t>
            </w:r>
          </w:p>
        </w:tc>
        <w:tc>
          <w:tcPr>
            <w:tcW w:w="1843" w:type="dxa"/>
            <w:shd w:val="clear" w:color="auto" w:fill="FFFFFF"/>
          </w:tcPr>
          <w:p w:rsidR="00834017" w:rsidRPr="00E6341C" w:rsidRDefault="00D9233F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Alex Weir</w:t>
            </w:r>
          </w:p>
        </w:tc>
        <w:tc>
          <w:tcPr>
            <w:tcW w:w="635" w:type="dxa"/>
            <w:shd w:val="clear" w:color="auto" w:fill="FFFFFF"/>
          </w:tcPr>
          <w:p w:rsidR="00834017" w:rsidRPr="00994A42" w:rsidRDefault="00834017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A1938" w:rsidRPr="00072629" w:rsidTr="003053C3">
        <w:trPr>
          <w:trHeight w:val="11339"/>
        </w:trPr>
        <w:tc>
          <w:tcPr>
            <w:tcW w:w="10808" w:type="dxa"/>
            <w:gridSpan w:val="8"/>
            <w:shd w:val="clear" w:color="auto" w:fill="FFFFFF"/>
          </w:tcPr>
          <w:p w:rsidR="003053C3" w:rsidRDefault="003053C3" w:rsidP="003761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815B3" w:rsidRDefault="0061664A" w:rsidP="003761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Alex Weir (AW) presented paper 1.01 on the proposed allocation mechanism for the offtaker of last resort. </w:t>
            </w:r>
          </w:p>
          <w:p w:rsidR="002213DE" w:rsidRDefault="002213DE" w:rsidP="003761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815B3" w:rsidRDefault="00AF239A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Regulatory Allocation, </w:t>
            </w:r>
            <w:r w:rsidR="008352E4">
              <w:rPr>
                <w:rFonts w:ascii="Arial" w:hAnsi="Arial" w:cs="Arial"/>
                <w:sz w:val="24"/>
                <w:szCs w:val="24"/>
              </w:rPr>
              <w:t>points raised included</w:t>
            </w:r>
            <w:r w:rsidR="000815B3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0815B3" w:rsidRDefault="00ED5453" w:rsidP="00EA1938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may be a wide </w:t>
            </w:r>
            <w:r w:rsidR="008D6DB2">
              <w:rPr>
                <w:rFonts w:ascii="Arial" w:hAnsi="Arial" w:cs="Arial"/>
                <w:sz w:val="24"/>
                <w:szCs w:val="24"/>
              </w:rPr>
              <w:t xml:space="preserve">spread </w:t>
            </w:r>
            <w:r>
              <w:rPr>
                <w:rFonts w:ascii="Arial" w:hAnsi="Arial" w:cs="Arial"/>
                <w:sz w:val="24"/>
                <w:szCs w:val="24"/>
              </w:rPr>
              <w:t xml:space="preserve">in the </w:t>
            </w:r>
            <w:r w:rsidR="000815B3">
              <w:rPr>
                <w:rFonts w:ascii="Arial" w:hAnsi="Arial" w:cs="Arial"/>
                <w:sz w:val="24"/>
                <w:szCs w:val="24"/>
              </w:rPr>
              <w:t xml:space="preserve">costs </w:t>
            </w:r>
            <w:r>
              <w:rPr>
                <w:rFonts w:ascii="Arial" w:hAnsi="Arial" w:cs="Arial"/>
                <w:sz w:val="24"/>
                <w:szCs w:val="24"/>
              </w:rPr>
              <w:t xml:space="preserve">of acting as a backstop offtaker </w:t>
            </w:r>
            <w:r w:rsidR="000815B3">
              <w:rPr>
                <w:rFonts w:ascii="Arial" w:hAnsi="Arial" w:cs="Arial"/>
                <w:sz w:val="24"/>
                <w:szCs w:val="24"/>
              </w:rPr>
              <w:t>between suppliers</w:t>
            </w:r>
            <w:r w:rsidR="008352E4">
              <w:rPr>
                <w:rFonts w:ascii="Arial" w:hAnsi="Arial" w:cs="Arial"/>
                <w:sz w:val="24"/>
                <w:szCs w:val="24"/>
              </w:rPr>
              <w:t>, in particular due to variation in the cost of credit between suppliers.</w:t>
            </w:r>
          </w:p>
          <w:p w:rsidR="000815B3" w:rsidRDefault="008352E4" w:rsidP="00EA1938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That t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he backstop ‘burden’ </w:t>
            </w:r>
            <w:r>
              <w:rPr>
                <w:rFonts w:ascii="Arial" w:hAnsi="Arial" w:cs="Arial"/>
                <w:sz w:val="24"/>
                <w:szCs w:val="24"/>
              </w:rPr>
              <w:t xml:space="preserve">should be calculated </w:t>
            </w:r>
            <w:r w:rsidR="00A8227E">
              <w:rPr>
                <w:rFonts w:ascii="Arial" w:hAnsi="Arial" w:cs="Arial"/>
                <w:sz w:val="24"/>
                <w:szCs w:val="24"/>
              </w:rPr>
              <w:t>proportion</w:t>
            </w:r>
            <w:r>
              <w:rPr>
                <w:rFonts w:ascii="Arial" w:hAnsi="Arial" w:cs="Arial"/>
                <w:sz w:val="24"/>
                <w:szCs w:val="24"/>
              </w:rPr>
              <w:t>ally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 to </w:t>
            </w:r>
            <w:r>
              <w:rPr>
                <w:rFonts w:ascii="Arial" w:hAnsi="Arial" w:cs="Arial"/>
                <w:sz w:val="24"/>
                <w:szCs w:val="24"/>
              </w:rPr>
              <w:t>suppliers’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 market share</w:t>
            </w:r>
          </w:p>
          <w:p w:rsidR="00ED5453" w:rsidRDefault="00ED5453" w:rsidP="00EA1938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 is important not to prohibit suppliers from subcontracting functions under backstop PPAs, </w:t>
            </w:r>
          </w:p>
          <w:p w:rsidR="00A8227E" w:rsidRDefault="00ED5453" w:rsidP="00EA1938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agreement that it is not worth considering ‘generator choice’ or Ofgem matching generators to the ‘best fit’ suppliers, although it was noted that customer service can be a relevant factor for generators when choosing offtakers. The risk of 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mandatory offtakers </w:t>
            </w:r>
            <w:r>
              <w:rPr>
                <w:rFonts w:ascii="Arial" w:hAnsi="Arial" w:cs="Arial"/>
                <w:sz w:val="24"/>
                <w:szCs w:val="24"/>
              </w:rPr>
              <w:t>seeking to ‘</w:t>
            </w:r>
            <w:r w:rsidR="00A8227E">
              <w:rPr>
                <w:rFonts w:ascii="Arial" w:hAnsi="Arial" w:cs="Arial"/>
                <w:sz w:val="24"/>
                <w:szCs w:val="24"/>
              </w:rPr>
              <w:t>frustrate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84B">
              <w:rPr>
                <w:rFonts w:ascii="Arial" w:hAnsi="Arial" w:cs="Arial"/>
                <w:sz w:val="24"/>
                <w:szCs w:val="24"/>
              </w:rPr>
              <w:t xml:space="preserve">Backstop </w:t>
            </w:r>
            <w:r w:rsidR="00A8227E">
              <w:rPr>
                <w:rFonts w:ascii="Arial" w:hAnsi="Arial" w:cs="Arial"/>
                <w:sz w:val="24"/>
                <w:szCs w:val="24"/>
              </w:rPr>
              <w:t xml:space="preserve">PPA </w:t>
            </w:r>
            <w:r w:rsidR="00EC584B">
              <w:rPr>
                <w:rFonts w:ascii="Arial" w:hAnsi="Arial" w:cs="Arial"/>
                <w:sz w:val="24"/>
                <w:szCs w:val="24"/>
              </w:rPr>
              <w:t xml:space="preserve">contracts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e.g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.through making late payments) </w:t>
            </w:r>
            <w:r w:rsidR="008352E4">
              <w:rPr>
                <w:rFonts w:ascii="Arial" w:hAnsi="Arial" w:cs="Arial"/>
                <w:sz w:val="24"/>
                <w:szCs w:val="24"/>
              </w:rPr>
              <w:t>– there were differing views as to the plausibility of this and the extent of the risk</w:t>
            </w:r>
          </w:p>
          <w:p w:rsidR="008352E4" w:rsidRDefault="008352E4" w:rsidP="00EA1938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That without understanding the basis for regulated cost assessment, it is hard to know the potential impact of regulatory allocation on suppliers</w:t>
            </w:r>
          </w:p>
          <w:p w:rsidR="00AF239A" w:rsidRDefault="00AF239A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F239A" w:rsidRDefault="008352E4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="00AF239A">
              <w:rPr>
                <w:rFonts w:ascii="Arial" w:hAnsi="Arial" w:cs="Arial"/>
                <w:sz w:val="24"/>
                <w:szCs w:val="24"/>
              </w:rPr>
              <w:t xml:space="preserve">Competitive allocation, points raised </w:t>
            </w:r>
            <w:r>
              <w:rPr>
                <w:rFonts w:ascii="Arial" w:hAnsi="Arial" w:cs="Arial"/>
                <w:sz w:val="24"/>
                <w:szCs w:val="24"/>
              </w:rPr>
              <w:t>included</w:t>
            </w:r>
            <w:r w:rsidR="00AF239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3053C3" w:rsidRDefault="008352E4" w:rsidP="00EA1938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D5453">
              <w:rPr>
                <w:rFonts w:ascii="Arial" w:hAnsi="Arial" w:cs="Arial"/>
                <w:sz w:val="24"/>
                <w:szCs w:val="24"/>
              </w:rPr>
              <w:t>Risk that c</w:t>
            </w:r>
            <w:r w:rsidR="00AF239A" w:rsidRPr="00ED5453">
              <w:rPr>
                <w:rFonts w:ascii="Arial" w:hAnsi="Arial" w:cs="Arial"/>
                <w:sz w:val="24"/>
                <w:szCs w:val="24"/>
              </w:rPr>
              <w:t xml:space="preserve">ompetitive allocation </w:t>
            </w:r>
            <w:r w:rsidRPr="00ED5453">
              <w:rPr>
                <w:rFonts w:ascii="Arial" w:hAnsi="Arial" w:cs="Arial"/>
                <w:sz w:val="24"/>
                <w:szCs w:val="24"/>
              </w:rPr>
              <w:t xml:space="preserve">may </w:t>
            </w:r>
            <w:r w:rsidR="00AF239A" w:rsidRPr="00ED5453">
              <w:rPr>
                <w:rFonts w:ascii="Arial" w:hAnsi="Arial" w:cs="Arial"/>
                <w:sz w:val="24"/>
                <w:szCs w:val="24"/>
              </w:rPr>
              <w:t xml:space="preserve">a barrier to entry </w:t>
            </w:r>
            <w:r w:rsidR="00ED5453" w:rsidRPr="00ED5453">
              <w:rPr>
                <w:rFonts w:ascii="Arial" w:hAnsi="Arial" w:cs="Arial"/>
                <w:sz w:val="24"/>
                <w:szCs w:val="24"/>
              </w:rPr>
              <w:t>to the PPA market</w:t>
            </w:r>
          </w:p>
          <w:p w:rsidR="00AF239A" w:rsidRPr="003053C3" w:rsidRDefault="00AF239A" w:rsidP="003053C3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D5453">
              <w:rPr>
                <w:rFonts w:ascii="Arial" w:hAnsi="Arial" w:cs="Arial"/>
                <w:sz w:val="24"/>
                <w:szCs w:val="24"/>
              </w:rPr>
              <w:t>Concern</w:t>
            </w:r>
            <w:r w:rsidR="00ED5453">
              <w:rPr>
                <w:rFonts w:ascii="Arial" w:hAnsi="Arial" w:cs="Arial"/>
                <w:sz w:val="24"/>
                <w:szCs w:val="24"/>
              </w:rPr>
              <w:t xml:space="preserve"> that competitive allocation could distort the open market for PPAs (</w:t>
            </w:r>
            <w:r w:rsidRPr="00ED5453">
              <w:rPr>
                <w:rFonts w:ascii="Arial" w:hAnsi="Arial" w:cs="Arial"/>
                <w:sz w:val="24"/>
                <w:szCs w:val="24"/>
              </w:rPr>
              <w:t xml:space="preserve">AW referred members to the Baringa analytical paper 1A for </w:t>
            </w:r>
            <w:r w:rsidR="00ED5453">
              <w:rPr>
                <w:rFonts w:ascii="Arial" w:hAnsi="Arial" w:cs="Arial"/>
                <w:sz w:val="24"/>
                <w:szCs w:val="24"/>
              </w:rPr>
              <w:t>further consideration of this)</w:t>
            </w:r>
          </w:p>
          <w:p w:rsidR="001451A4" w:rsidRDefault="008D6DB2" w:rsidP="00EA1938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1451A4">
              <w:rPr>
                <w:rFonts w:ascii="Arial" w:hAnsi="Arial" w:cs="Arial"/>
                <w:sz w:val="24"/>
                <w:szCs w:val="24"/>
              </w:rPr>
              <w:t xml:space="preserve">iscussion over </w:t>
            </w:r>
            <w:r>
              <w:rPr>
                <w:rFonts w:ascii="Arial" w:hAnsi="Arial" w:cs="Arial"/>
                <w:sz w:val="24"/>
                <w:szCs w:val="24"/>
              </w:rPr>
              <w:t>the interactions between the backstop PPA market and the open PPA market</w:t>
            </w:r>
            <w:r w:rsidR="00ED545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how they would differ in times of market stress</w:t>
            </w:r>
            <w:r w:rsidR="00272BC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330BCF" w:rsidRDefault="00330BCF" w:rsidP="00EA1938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Competitive allocation is more likely to yield benefits to consumers if there is high demand for backstop PPAs; with low / infrequent demand, the costs are likely to outweigh the benefits</w:t>
            </w:r>
          </w:p>
          <w:p w:rsidR="001451A4" w:rsidRDefault="001451A4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30BCF" w:rsidRDefault="00330BCF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 hybrid allocation:</w:t>
            </w:r>
          </w:p>
          <w:p w:rsidR="00330BCF" w:rsidRDefault="00330BCF" w:rsidP="003053C3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Broad agreement that this is worth considering further</w:t>
            </w:r>
          </w:p>
          <w:p w:rsidR="00330BCF" w:rsidRDefault="00330BCF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30BCF" w:rsidRDefault="00330BCF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General discussion:</w:t>
            </w:r>
          </w:p>
          <w:p w:rsidR="00A8227E" w:rsidRDefault="008D6DB2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 was also noted that the timescales in the allocation paper were too generous and could usually be achieved more quickly. </w:t>
            </w:r>
          </w:p>
          <w:p w:rsidR="005F0BAF" w:rsidRDefault="005F0BAF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91279F" w:rsidRDefault="005F0BAF" w:rsidP="002D655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F0BAF">
              <w:rPr>
                <w:rFonts w:ascii="Arial" w:hAnsi="Arial" w:cs="Arial"/>
                <w:b/>
                <w:sz w:val="24"/>
                <w:szCs w:val="24"/>
              </w:rPr>
              <w:t>Action: Members to submit any further comments via email/phone.</w:t>
            </w:r>
          </w:p>
          <w:p w:rsidR="003053C3" w:rsidRDefault="003053C3" w:rsidP="002D655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53C3" w:rsidRDefault="003053C3" w:rsidP="002D655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13DE" w:rsidRDefault="002213DE" w:rsidP="002D655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13DE" w:rsidRDefault="002213DE" w:rsidP="002D655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053C3" w:rsidRPr="006E4AB2" w:rsidRDefault="003053C3" w:rsidP="002D65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1938" w:rsidRPr="00072629" w:rsidTr="003053C3">
        <w:trPr>
          <w:trHeight w:val="463"/>
        </w:trPr>
        <w:tc>
          <w:tcPr>
            <w:tcW w:w="493" w:type="dxa"/>
            <w:shd w:val="clear" w:color="auto" w:fill="FFFFFF"/>
          </w:tcPr>
          <w:p w:rsidR="00CC22D5" w:rsidRDefault="00CC22D5" w:rsidP="00EA19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CC22D5" w:rsidRPr="00E6341C" w:rsidRDefault="001451A4" w:rsidP="00EA19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Discussion of Offtaker Identity </w:t>
            </w:r>
          </w:p>
        </w:tc>
        <w:tc>
          <w:tcPr>
            <w:tcW w:w="4433" w:type="dxa"/>
            <w:gridSpan w:val="2"/>
            <w:shd w:val="clear" w:color="auto" w:fill="FFFFFF"/>
          </w:tcPr>
          <w:p w:rsidR="00CC22D5" w:rsidRDefault="001451A4" w:rsidP="00EA1938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Paper 1.02 Offtaker Identity</w:t>
            </w:r>
          </w:p>
        </w:tc>
        <w:tc>
          <w:tcPr>
            <w:tcW w:w="2127" w:type="dxa"/>
            <w:gridSpan w:val="2"/>
            <w:shd w:val="clear" w:color="auto" w:fill="FFFFFF"/>
          </w:tcPr>
          <w:p w:rsidR="00CC22D5" w:rsidRPr="00E6341C" w:rsidRDefault="00035B2F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Jessica Henry</w:t>
            </w:r>
          </w:p>
        </w:tc>
        <w:tc>
          <w:tcPr>
            <w:tcW w:w="635" w:type="dxa"/>
            <w:shd w:val="clear" w:color="auto" w:fill="FFFFFF"/>
          </w:tcPr>
          <w:p w:rsidR="00CC22D5" w:rsidRDefault="00CC22D5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A1938" w:rsidRPr="00072629" w:rsidTr="00376197">
        <w:trPr>
          <w:trHeight w:val="841"/>
        </w:trPr>
        <w:tc>
          <w:tcPr>
            <w:tcW w:w="10808" w:type="dxa"/>
            <w:gridSpan w:val="8"/>
            <w:shd w:val="clear" w:color="auto" w:fill="FFFFFF"/>
          </w:tcPr>
          <w:p w:rsidR="003053C3" w:rsidRDefault="003053C3" w:rsidP="00EA1938">
            <w:pPr>
              <w:rPr>
                <w:rFonts w:ascii="Arial" w:hAnsi="Arial" w:cs="Arial"/>
                <w:sz w:val="24"/>
                <w:szCs w:val="24"/>
              </w:rPr>
            </w:pPr>
          </w:p>
          <w:p w:rsidR="00067A89" w:rsidRDefault="00035B2F" w:rsidP="00EA1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JH ran through a quick summary of the proposals for the offtaker identity. </w:t>
            </w:r>
          </w:p>
          <w:p w:rsidR="00035B2F" w:rsidRDefault="00035B2F" w:rsidP="00EA1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discussion followed, with </w:t>
            </w:r>
            <w:r w:rsidR="00376197">
              <w:rPr>
                <w:rFonts w:ascii="Arial" w:hAnsi="Arial" w:cs="Arial"/>
                <w:sz w:val="24"/>
                <w:szCs w:val="24"/>
              </w:rPr>
              <w:t>points made including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376197" w:rsidRDefault="00376197" w:rsidP="00EA1938">
            <w:pPr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agreement that </w:t>
            </w:r>
            <w:r w:rsidR="00A15CAA">
              <w:rPr>
                <w:rFonts w:ascii="Arial" w:hAnsi="Arial" w:cs="Arial"/>
                <w:sz w:val="24"/>
                <w:szCs w:val="24"/>
              </w:rPr>
              <w:t>‘</w:t>
            </w:r>
            <w:r w:rsidR="00035B2F">
              <w:rPr>
                <w:rFonts w:ascii="Arial" w:hAnsi="Arial" w:cs="Arial"/>
                <w:sz w:val="24"/>
                <w:szCs w:val="24"/>
              </w:rPr>
              <w:t>market share</w:t>
            </w:r>
            <w:r w:rsidR="00A15CAA">
              <w:rPr>
                <w:rFonts w:ascii="Arial" w:hAnsi="Arial" w:cs="Arial"/>
                <w:sz w:val="24"/>
                <w:szCs w:val="24"/>
              </w:rPr>
              <w:t>’</w:t>
            </w:r>
            <w:r w:rsidR="00035B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may be </w:t>
            </w:r>
            <w:r w:rsidR="00A15CAA">
              <w:rPr>
                <w:rFonts w:ascii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</w:rPr>
              <w:t xml:space="preserve">suitable </w:t>
            </w:r>
            <w:r w:rsidR="00A15CAA">
              <w:rPr>
                <w:rFonts w:ascii="Arial" w:hAnsi="Arial" w:cs="Arial"/>
                <w:sz w:val="24"/>
                <w:szCs w:val="24"/>
              </w:rPr>
              <w:t xml:space="preserve">basis </w:t>
            </w:r>
            <w:r>
              <w:rPr>
                <w:rFonts w:ascii="Arial" w:hAnsi="Arial" w:cs="Arial"/>
                <w:sz w:val="24"/>
                <w:szCs w:val="24"/>
              </w:rPr>
              <w:t xml:space="preserve">for determining mandatory offtakers, whilst acknowledging that this does not remove credit risk </w:t>
            </w:r>
            <w:r w:rsidR="00A15CAA">
              <w:rPr>
                <w:rFonts w:ascii="Arial" w:hAnsi="Arial" w:cs="Arial"/>
                <w:sz w:val="24"/>
                <w:szCs w:val="24"/>
              </w:rPr>
              <w:t xml:space="preserve">(TXU experience was cited). </w:t>
            </w:r>
          </w:p>
          <w:p w:rsidR="00035B2F" w:rsidRDefault="00376197" w:rsidP="00EA1938">
            <w:pPr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Backstop PPA should not seek to remove </w:t>
            </w:r>
            <w:r w:rsidR="00A15CAA">
              <w:rPr>
                <w:rFonts w:ascii="Arial" w:hAnsi="Arial" w:cs="Arial"/>
                <w:sz w:val="24"/>
                <w:szCs w:val="24"/>
              </w:rPr>
              <w:t>all risks</w:t>
            </w:r>
            <w:r>
              <w:rPr>
                <w:rFonts w:ascii="Arial" w:hAnsi="Arial" w:cs="Arial"/>
                <w:sz w:val="24"/>
                <w:szCs w:val="24"/>
              </w:rPr>
              <w:t xml:space="preserve"> – it simply needs to </w:t>
            </w:r>
            <w:r w:rsidR="008667A0">
              <w:rPr>
                <w:rFonts w:ascii="Arial" w:hAnsi="Arial" w:cs="Arial"/>
                <w:sz w:val="24"/>
                <w:szCs w:val="24"/>
              </w:rPr>
              <w:t xml:space="preserve">match the quality of </w:t>
            </w:r>
            <w:r>
              <w:rPr>
                <w:rFonts w:ascii="Arial" w:hAnsi="Arial" w:cs="Arial"/>
                <w:sz w:val="24"/>
                <w:szCs w:val="24"/>
              </w:rPr>
              <w:t xml:space="preserve">a long-term PPA with a large utility. </w:t>
            </w:r>
            <w:r w:rsidR="00A15CA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D6DB2" w:rsidRDefault="00A15CAA" w:rsidP="00EA1938">
            <w:pPr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5889">
              <w:rPr>
                <w:rFonts w:ascii="Arial" w:hAnsi="Arial" w:cs="Arial"/>
                <w:sz w:val="24"/>
                <w:szCs w:val="24"/>
              </w:rPr>
              <w:t>Whether</w:t>
            </w:r>
            <w:r w:rsidR="005F0BAF" w:rsidRPr="006A5889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="00035B2F" w:rsidRPr="006A5889">
              <w:rPr>
                <w:rFonts w:ascii="Arial" w:hAnsi="Arial" w:cs="Arial"/>
                <w:sz w:val="24"/>
                <w:szCs w:val="24"/>
              </w:rPr>
              <w:t>ender</w:t>
            </w:r>
            <w:r w:rsidR="005F0BAF" w:rsidRPr="006A5889">
              <w:rPr>
                <w:rFonts w:ascii="Arial" w:hAnsi="Arial" w:cs="Arial"/>
                <w:sz w:val="24"/>
                <w:szCs w:val="24"/>
              </w:rPr>
              <w:t>s</w:t>
            </w:r>
            <w:r w:rsidR="00035B2F" w:rsidRPr="006A5889">
              <w:rPr>
                <w:rFonts w:ascii="Arial" w:hAnsi="Arial" w:cs="Arial"/>
                <w:sz w:val="24"/>
                <w:szCs w:val="24"/>
              </w:rPr>
              <w:t xml:space="preserve"> are likely to be satisfied 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for smaller </w:t>
            </w:r>
            <w:r w:rsidR="001A4E19" w:rsidRPr="006A5889">
              <w:rPr>
                <w:rFonts w:ascii="Arial" w:hAnsi="Arial" w:cs="Arial"/>
                <w:sz w:val="24"/>
                <w:szCs w:val="24"/>
              </w:rPr>
              <w:t xml:space="preserve">(less credit worthy) 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offtakers to utilise the Backstop </w:t>
            </w:r>
            <w:r w:rsidR="00035B2F" w:rsidRPr="006A5889">
              <w:rPr>
                <w:rFonts w:ascii="Arial" w:hAnsi="Arial" w:cs="Arial"/>
                <w:sz w:val="24"/>
                <w:szCs w:val="24"/>
              </w:rPr>
              <w:t xml:space="preserve">if collateral </w:t>
            </w:r>
            <w:r w:rsidR="001A4E19" w:rsidRPr="006A5889">
              <w:rPr>
                <w:rFonts w:ascii="Arial" w:hAnsi="Arial" w:cs="Arial"/>
                <w:sz w:val="24"/>
                <w:szCs w:val="24"/>
              </w:rPr>
              <w:t xml:space="preserve">is posted and </w:t>
            </w:r>
            <w:r w:rsidR="006A5889" w:rsidRPr="006A5889">
              <w:rPr>
                <w:rFonts w:ascii="Arial" w:hAnsi="Arial" w:cs="Arial"/>
                <w:sz w:val="24"/>
                <w:szCs w:val="24"/>
              </w:rPr>
              <w:t xml:space="preserve">Backstop PPAs are reallocated swiftly upon default. </w:t>
            </w:r>
            <w:r w:rsidR="00376197">
              <w:rPr>
                <w:rFonts w:ascii="Arial" w:hAnsi="Arial" w:cs="Arial"/>
                <w:sz w:val="24"/>
                <w:szCs w:val="24"/>
              </w:rPr>
              <w:t>Diverse views were expressed, with some group members agreeing that this could work, whilst others thought lenders would struggle to get comfortable with such an arrangement.</w:t>
            </w:r>
            <w:r w:rsidR="006A5889">
              <w:rPr>
                <w:rFonts w:ascii="Arial" w:hAnsi="Arial" w:cs="Arial"/>
                <w:sz w:val="24"/>
                <w:szCs w:val="24"/>
              </w:rPr>
              <w:t xml:space="preserve"> Question</w:t>
            </w:r>
            <w:r w:rsidR="00376197">
              <w:rPr>
                <w:rFonts w:ascii="Arial" w:hAnsi="Arial" w:cs="Arial"/>
                <w:sz w:val="24"/>
                <w:szCs w:val="24"/>
              </w:rPr>
              <w:t>s were raised</w:t>
            </w:r>
            <w:r w:rsidR="006A5889">
              <w:rPr>
                <w:rFonts w:ascii="Arial" w:hAnsi="Arial" w:cs="Arial"/>
                <w:sz w:val="24"/>
                <w:szCs w:val="24"/>
              </w:rPr>
              <w:t xml:space="preserve"> over whether costs of collateral would make less credit worthy offtakers uncompetitive even if eligible.</w:t>
            </w:r>
          </w:p>
          <w:p w:rsidR="005F0BAF" w:rsidRPr="00035F50" w:rsidRDefault="005F0BAF" w:rsidP="00EA1938">
            <w:pPr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5889">
              <w:rPr>
                <w:rFonts w:ascii="Arial" w:hAnsi="Arial" w:cs="Arial"/>
                <w:sz w:val="24"/>
                <w:szCs w:val="24"/>
              </w:rPr>
              <w:t xml:space="preserve">Open market PPAs </w:t>
            </w:r>
            <w:r w:rsidR="0022564C">
              <w:rPr>
                <w:rFonts w:ascii="Arial" w:hAnsi="Arial" w:cs="Arial"/>
                <w:sz w:val="24"/>
                <w:szCs w:val="24"/>
              </w:rPr>
              <w:t xml:space="preserve">currently 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have a </w:t>
            </w:r>
            <w:r w:rsidR="008D6DB2">
              <w:rPr>
                <w:rFonts w:ascii="Arial" w:hAnsi="Arial" w:cs="Arial"/>
                <w:sz w:val="24"/>
                <w:szCs w:val="24"/>
              </w:rPr>
              <w:t>‘</w:t>
            </w:r>
            <w:r w:rsidRPr="006A5889">
              <w:rPr>
                <w:rFonts w:ascii="Arial" w:hAnsi="Arial" w:cs="Arial"/>
                <w:sz w:val="24"/>
                <w:szCs w:val="24"/>
              </w:rPr>
              <w:t>trigger</w:t>
            </w:r>
            <w:r w:rsidR="008D6DB2">
              <w:rPr>
                <w:rFonts w:ascii="Arial" w:hAnsi="Arial" w:cs="Arial"/>
                <w:sz w:val="24"/>
                <w:szCs w:val="24"/>
              </w:rPr>
              <w:t>’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 system – if the supplier does not have an investment grade credit rating, a letter of credit or collateral is automatically </w:t>
            </w:r>
            <w:r w:rsidR="008667A0">
              <w:rPr>
                <w:rFonts w:ascii="Arial" w:hAnsi="Arial" w:cs="Arial"/>
                <w:sz w:val="24"/>
                <w:szCs w:val="24"/>
              </w:rPr>
              <w:t xml:space="preserve">required </w:t>
            </w:r>
            <w:r w:rsidR="00260C7C">
              <w:rPr>
                <w:rFonts w:ascii="Arial" w:hAnsi="Arial" w:cs="Arial"/>
                <w:sz w:val="24"/>
                <w:szCs w:val="24"/>
              </w:rPr>
              <w:t>as a next step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60C7C">
              <w:rPr>
                <w:rFonts w:ascii="Arial" w:hAnsi="Arial" w:cs="Arial"/>
                <w:sz w:val="24"/>
                <w:szCs w:val="24"/>
              </w:rPr>
              <w:t>The s</w:t>
            </w:r>
            <w:r w:rsidRPr="006A5889">
              <w:rPr>
                <w:rFonts w:ascii="Arial" w:hAnsi="Arial" w:cs="Arial"/>
                <w:sz w:val="24"/>
                <w:szCs w:val="24"/>
              </w:rPr>
              <w:t xml:space="preserve">ame could be built into Backstop PPA. </w:t>
            </w:r>
          </w:p>
          <w:p w:rsidR="005F0BAF" w:rsidRDefault="005F0BAF" w:rsidP="00EA1938">
            <w:pPr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Important to guarantee how quickly projects can be transferred to a new PPA if needed. </w:t>
            </w:r>
            <w:r w:rsidR="00035F50">
              <w:rPr>
                <w:rFonts w:ascii="Arial" w:hAnsi="Arial" w:cs="Arial"/>
                <w:sz w:val="24"/>
                <w:szCs w:val="24"/>
              </w:rPr>
              <w:t xml:space="preserve"> Debate over how the meter is reallocated in the event of offtaker default.  </w:t>
            </w:r>
          </w:p>
          <w:p w:rsidR="005F0BAF" w:rsidRDefault="005F0BAF" w:rsidP="00EA1938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5F0BAF" w:rsidRDefault="005F0BAF" w:rsidP="00EA193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F0BAF">
              <w:rPr>
                <w:rFonts w:ascii="Arial" w:hAnsi="Arial" w:cs="Arial"/>
                <w:b/>
                <w:sz w:val="24"/>
                <w:szCs w:val="24"/>
              </w:rPr>
              <w:t xml:space="preserve">Action: DECC to confer with lenders about participation by voluntary offtakers </w:t>
            </w:r>
          </w:p>
          <w:p w:rsidR="00DE52BC" w:rsidRPr="005F0BAF" w:rsidRDefault="00DE52BC" w:rsidP="00EA193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A1938" w:rsidRPr="00072629" w:rsidTr="003053C3">
        <w:trPr>
          <w:trHeight w:val="385"/>
        </w:trPr>
        <w:tc>
          <w:tcPr>
            <w:tcW w:w="534" w:type="dxa"/>
            <w:gridSpan w:val="2"/>
            <w:shd w:val="clear" w:color="auto" w:fill="FFFFFF"/>
          </w:tcPr>
          <w:p w:rsidR="00D159B8" w:rsidRPr="00D159B8" w:rsidRDefault="00D159B8" w:rsidP="00EA193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159B8"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D159B8" w:rsidRPr="00E6341C" w:rsidRDefault="0061664A" w:rsidP="00EA19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Forward Look</w:t>
            </w:r>
            <w:r w:rsidR="00D159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shd w:val="clear" w:color="auto" w:fill="FFFFFF"/>
          </w:tcPr>
          <w:p w:rsidR="00D159B8" w:rsidRDefault="00D159B8" w:rsidP="00EA1938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FFFFFF"/>
          </w:tcPr>
          <w:p w:rsidR="00D159B8" w:rsidRPr="00E6341C" w:rsidRDefault="00D159B8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Alex Weir</w:t>
            </w:r>
          </w:p>
        </w:tc>
        <w:tc>
          <w:tcPr>
            <w:tcW w:w="635" w:type="dxa"/>
            <w:shd w:val="clear" w:color="auto" w:fill="FFFFFF"/>
          </w:tcPr>
          <w:p w:rsidR="00D159B8" w:rsidRDefault="00D159B8" w:rsidP="00EA19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A1938" w:rsidRPr="00072629" w:rsidTr="003053C3">
        <w:trPr>
          <w:trHeight w:val="841"/>
        </w:trPr>
        <w:tc>
          <w:tcPr>
            <w:tcW w:w="10808" w:type="dxa"/>
            <w:gridSpan w:val="8"/>
            <w:shd w:val="clear" w:color="auto" w:fill="FFFFFF"/>
          </w:tcPr>
          <w:p w:rsidR="003053C3" w:rsidRDefault="003053C3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159B8" w:rsidRDefault="005F0BAF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 ran through the schedule for the next few meetings, including </w:t>
            </w:r>
            <w:r w:rsidR="00F47F79">
              <w:rPr>
                <w:rFonts w:ascii="Arial" w:hAnsi="Arial" w:cs="Arial"/>
                <w:sz w:val="24"/>
                <w:szCs w:val="24"/>
              </w:rPr>
              <w:t xml:space="preserve">a first look at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F47F79">
              <w:rPr>
                <w:rFonts w:ascii="Arial" w:hAnsi="Arial" w:cs="Arial"/>
                <w:sz w:val="24"/>
                <w:szCs w:val="24"/>
              </w:rPr>
              <w:t xml:space="preserve">proposed </w:t>
            </w:r>
            <w:r>
              <w:rPr>
                <w:rFonts w:ascii="Arial" w:hAnsi="Arial" w:cs="Arial"/>
                <w:sz w:val="24"/>
                <w:szCs w:val="24"/>
              </w:rPr>
              <w:t xml:space="preserve">order of papers. </w:t>
            </w:r>
          </w:p>
          <w:p w:rsidR="005F0BAF" w:rsidRDefault="00C10AE5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couple of questions were raised about future subjects for discussion – on eligibility the interdependency with CfDs was noted. </w:t>
            </w:r>
          </w:p>
          <w:p w:rsidR="00C10AE5" w:rsidRDefault="00C10AE5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C10AE5" w:rsidRPr="00C10AE5" w:rsidRDefault="00C10AE5" w:rsidP="00EA193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C10AE5">
              <w:rPr>
                <w:rFonts w:ascii="Arial" w:hAnsi="Arial" w:cs="Arial"/>
                <w:b/>
                <w:sz w:val="24"/>
                <w:szCs w:val="24"/>
              </w:rPr>
              <w:t>Action: DECC to revise meeting schedule to allow time for adequate discussion on pricing &amp; other issues</w:t>
            </w:r>
          </w:p>
          <w:p w:rsidR="00C10AE5" w:rsidRDefault="00C10AE5" w:rsidP="00EA19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25BB" w:rsidRDefault="002425BB" w:rsidP="00EA68C3">
      <w:pPr>
        <w:pStyle w:val="ListParagraph"/>
        <w:spacing w:line="240" w:lineRule="auto"/>
        <w:ind w:left="0"/>
        <w:rPr>
          <w:sz w:val="24"/>
          <w:szCs w:val="24"/>
        </w:rPr>
      </w:pPr>
    </w:p>
    <w:p w:rsidR="00E438EB" w:rsidRDefault="00E438EB" w:rsidP="00EA68C3">
      <w:pPr>
        <w:pStyle w:val="ListParagraph"/>
        <w:spacing w:line="240" w:lineRule="auto"/>
        <w:ind w:left="0"/>
        <w:rPr>
          <w:sz w:val="24"/>
          <w:szCs w:val="24"/>
        </w:rPr>
      </w:pPr>
    </w:p>
    <w:sectPr w:rsidR="00E438EB" w:rsidSect="00EA1938">
      <w:headerReference w:type="default" r:id="rId9"/>
      <w:type w:val="continuous"/>
      <w:pgSz w:w="11906" w:h="16838" w:code="9"/>
      <w:pgMar w:top="1440" w:right="1440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A9" w:rsidRDefault="00D81CA9" w:rsidP="0089146C">
      <w:pPr>
        <w:spacing w:after="0" w:line="240" w:lineRule="auto"/>
      </w:pPr>
      <w:r>
        <w:separator/>
      </w:r>
    </w:p>
  </w:endnote>
  <w:endnote w:type="continuationSeparator" w:id="0">
    <w:p w:rsidR="00D81CA9" w:rsidRDefault="00D81CA9" w:rsidP="0089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A9" w:rsidRDefault="00D81CA9" w:rsidP="0089146C">
      <w:pPr>
        <w:spacing w:after="0" w:line="240" w:lineRule="auto"/>
      </w:pPr>
      <w:r>
        <w:separator/>
      </w:r>
    </w:p>
  </w:footnote>
  <w:footnote w:type="continuationSeparator" w:id="0">
    <w:p w:rsidR="00D81CA9" w:rsidRDefault="00D81CA9" w:rsidP="0089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91" w:rsidRPr="00DA55BD" w:rsidRDefault="00E14D91" w:rsidP="001E77F6">
    <w:pPr>
      <w:pStyle w:val="Header"/>
      <w:tabs>
        <w:tab w:val="left" w:pos="2475"/>
      </w:tabs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4AC4"/>
    <w:multiLevelType w:val="hybridMultilevel"/>
    <w:tmpl w:val="C5F4D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70473"/>
    <w:multiLevelType w:val="hybridMultilevel"/>
    <w:tmpl w:val="D340CB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317FD"/>
    <w:multiLevelType w:val="hybridMultilevel"/>
    <w:tmpl w:val="ED883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D10BA"/>
    <w:multiLevelType w:val="hybridMultilevel"/>
    <w:tmpl w:val="C8B6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76EAA"/>
    <w:multiLevelType w:val="hybridMultilevel"/>
    <w:tmpl w:val="6DD04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C09B1"/>
    <w:multiLevelType w:val="hybridMultilevel"/>
    <w:tmpl w:val="0FE05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82C60"/>
    <w:multiLevelType w:val="hybridMultilevel"/>
    <w:tmpl w:val="3948E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D6CA0"/>
    <w:multiLevelType w:val="hybridMultilevel"/>
    <w:tmpl w:val="053E8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937CAF"/>
    <w:multiLevelType w:val="hybridMultilevel"/>
    <w:tmpl w:val="02D40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F7078"/>
    <w:multiLevelType w:val="hybridMultilevel"/>
    <w:tmpl w:val="0B2E2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330BE"/>
    <w:multiLevelType w:val="hybridMultilevel"/>
    <w:tmpl w:val="4C06F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A6ADF"/>
    <w:multiLevelType w:val="hybridMultilevel"/>
    <w:tmpl w:val="9AC29A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E9778B"/>
    <w:multiLevelType w:val="hybridMultilevel"/>
    <w:tmpl w:val="B91E25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F525E"/>
    <w:multiLevelType w:val="hybridMultilevel"/>
    <w:tmpl w:val="6DAE3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20E1D"/>
    <w:multiLevelType w:val="hybridMultilevel"/>
    <w:tmpl w:val="27DA64C4"/>
    <w:lvl w:ilvl="0" w:tplc="0F48A9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D6A28"/>
    <w:multiLevelType w:val="hybridMultilevel"/>
    <w:tmpl w:val="AADC6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92A7E"/>
    <w:multiLevelType w:val="hybridMultilevel"/>
    <w:tmpl w:val="99749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11EF6"/>
    <w:multiLevelType w:val="hybridMultilevel"/>
    <w:tmpl w:val="107E06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3D3A85"/>
    <w:multiLevelType w:val="hybridMultilevel"/>
    <w:tmpl w:val="6400EF9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93974"/>
    <w:multiLevelType w:val="hybridMultilevel"/>
    <w:tmpl w:val="AF68A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F3058"/>
    <w:multiLevelType w:val="hybridMultilevel"/>
    <w:tmpl w:val="A06CB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C0333"/>
    <w:multiLevelType w:val="hybridMultilevel"/>
    <w:tmpl w:val="DF5EC4F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DC2E2F"/>
    <w:multiLevelType w:val="hybridMultilevel"/>
    <w:tmpl w:val="1958B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47031"/>
    <w:multiLevelType w:val="hybridMultilevel"/>
    <w:tmpl w:val="A00ED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448CA"/>
    <w:multiLevelType w:val="hybridMultilevel"/>
    <w:tmpl w:val="4176BCB8"/>
    <w:lvl w:ilvl="0" w:tplc="0809000F">
      <w:start w:val="1"/>
      <w:numFmt w:val="decimal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52664F68"/>
    <w:multiLevelType w:val="hybridMultilevel"/>
    <w:tmpl w:val="1C009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2A0952"/>
    <w:multiLevelType w:val="hybridMultilevel"/>
    <w:tmpl w:val="13AAE8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AD687C"/>
    <w:multiLevelType w:val="hybridMultilevel"/>
    <w:tmpl w:val="45AA02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2C3FD0"/>
    <w:multiLevelType w:val="hybridMultilevel"/>
    <w:tmpl w:val="91CA6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72477B"/>
    <w:multiLevelType w:val="hybridMultilevel"/>
    <w:tmpl w:val="EE14177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A93271"/>
    <w:multiLevelType w:val="hybridMultilevel"/>
    <w:tmpl w:val="3B4079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D721EC"/>
    <w:multiLevelType w:val="hybridMultilevel"/>
    <w:tmpl w:val="091A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E154A0"/>
    <w:multiLevelType w:val="hybridMultilevel"/>
    <w:tmpl w:val="F74CD3A2"/>
    <w:lvl w:ilvl="0" w:tplc="690EC3DE">
      <w:start w:val="1"/>
      <w:numFmt w:val="decimal"/>
      <w:pStyle w:val="Numberedparas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C71D81"/>
    <w:multiLevelType w:val="hybridMultilevel"/>
    <w:tmpl w:val="0B32E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2319BD"/>
    <w:multiLevelType w:val="hybridMultilevel"/>
    <w:tmpl w:val="17488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D14A8"/>
    <w:multiLevelType w:val="hybridMultilevel"/>
    <w:tmpl w:val="57CA4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46F6A"/>
    <w:multiLevelType w:val="hybridMultilevel"/>
    <w:tmpl w:val="55AE63B8"/>
    <w:lvl w:ilvl="0" w:tplc="77AEE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500E6B"/>
    <w:multiLevelType w:val="hybridMultilevel"/>
    <w:tmpl w:val="B5144AD6"/>
    <w:lvl w:ilvl="0" w:tplc="F460B62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2"/>
  </w:num>
  <w:num w:numId="4">
    <w:abstractNumId w:val="21"/>
  </w:num>
  <w:num w:numId="5">
    <w:abstractNumId w:val="0"/>
  </w:num>
  <w:num w:numId="6">
    <w:abstractNumId w:val="15"/>
  </w:num>
  <w:num w:numId="7">
    <w:abstractNumId w:val="29"/>
  </w:num>
  <w:num w:numId="8">
    <w:abstractNumId w:val="8"/>
  </w:num>
  <w:num w:numId="9">
    <w:abstractNumId w:val="26"/>
  </w:num>
  <w:num w:numId="10">
    <w:abstractNumId w:val="1"/>
  </w:num>
  <w:num w:numId="11">
    <w:abstractNumId w:val="24"/>
  </w:num>
  <w:num w:numId="12">
    <w:abstractNumId w:val="27"/>
  </w:num>
  <w:num w:numId="13">
    <w:abstractNumId w:val="37"/>
  </w:num>
  <w:num w:numId="14">
    <w:abstractNumId w:val="17"/>
  </w:num>
  <w:num w:numId="15">
    <w:abstractNumId w:val="36"/>
  </w:num>
  <w:num w:numId="16">
    <w:abstractNumId w:val="23"/>
  </w:num>
  <w:num w:numId="17">
    <w:abstractNumId w:val="22"/>
  </w:num>
  <w:num w:numId="18">
    <w:abstractNumId w:val="18"/>
  </w:num>
  <w:num w:numId="19">
    <w:abstractNumId w:val="11"/>
  </w:num>
  <w:num w:numId="20">
    <w:abstractNumId w:val="30"/>
  </w:num>
  <w:num w:numId="21">
    <w:abstractNumId w:val="34"/>
  </w:num>
  <w:num w:numId="22">
    <w:abstractNumId w:val="7"/>
  </w:num>
  <w:num w:numId="23">
    <w:abstractNumId w:val="28"/>
  </w:num>
  <w:num w:numId="24">
    <w:abstractNumId w:val="19"/>
  </w:num>
  <w:num w:numId="25">
    <w:abstractNumId w:val="3"/>
  </w:num>
  <w:num w:numId="26">
    <w:abstractNumId w:val="31"/>
  </w:num>
  <w:num w:numId="27">
    <w:abstractNumId w:val="4"/>
  </w:num>
  <w:num w:numId="28">
    <w:abstractNumId w:val="9"/>
  </w:num>
  <w:num w:numId="29">
    <w:abstractNumId w:val="5"/>
  </w:num>
  <w:num w:numId="30">
    <w:abstractNumId w:val="35"/>
  </w:num>
  <w:num w:numId="31">
    <w:abstractNumId w:val="12"/>
  </w:num>
  <w:num w:numId="32">
    <w:abstractNumId w:val="6"/>
  </w:num>
  <w:num w:numId="33">
    <w:abstractNumId w:val="20"/>
  </w:num>
  <w:num w:numId="34">
    <w:abstractNumId w:val="13"/>
  </w:num>
  <w:num w:numId="35">
    <w:abstractNumId w:val="10"/>
  </w:num>
  <w:num w:numId="36">
    <w:abstractNumId w:val="33"/>
  </w:num>
  <w:num w:numId="37">
    <w:abstractNumId w:val="25"/>
  </w:num>
  <w:num w:numId="3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38"/>
    <w:rsid w:val="000026FB"/>
    <w:rsid w:val="000047D4"/>
    <w:rsid w:val="000062F8"/>
    <w:rsid w:val="000078C7"/>
    <w:rsid w:val="00014717"/>
    <w:rsid w:val="00017838"/>
    <w:rsid w:val="000222BB"/>
    <w:rsid w:val="00025060"/>
    <w:rsid w:val="0003021A"/>
    <w:rsid w:val="00033EC0"/>
    <w:rsid w:val="00035B2F"/>
    <w:rsid w:val="00035F50"/>
    <w:rsid w:val="000368FD"/>
    <w:rsid w:val="000416D6"/>
    <w:rsid w:val="000422D9"/>
    <w:rsid w:val="00045944"/>
    <w:rsid w:val="00045A92"/>
    <w:rsid w:val="00046081"/>
    <w:rsid w:val="00050E85"/>
    <w:rsid w:val="000516F8"/>
    <w:rsid w:val="000550B9"/>
    <w:rsid w:val="00055CC1"/>
    <w:rsid w:val="00055E31"/>
    <w:rsid w:val="00060E39"/>
    <w:rsid w:val="000650C8"/>
    <w:rsid w:val="000651A6"/>
    <w:rsid w:val="000674AA"/>
    <w:rsid w:val="00067A89"/>
    <w:rsid w:val="00067EC5"/>
    <w:rsid w:val="00072629"/>
    <w:rsid w:val="00076140"/>
    <w:rsid w:val="000774AD"/>
    <w:rsid w:val="00077943"/>
    <w:rsid w:val="00080906"/>
    <w:rsid w:val="000815B3"/>
    <w:rsid w:val="0008256A"/>
    <w:rsid w:val="000878EC"/>
    <w:rsid w:val="00090D83"/>
    <w:rsid w:val="00093EAC"/>
    <w:rsid w:val="000A5712"/>
    <w:rsid w:val="000A6F69"/>
    <w:rsid w:val="000A758E"/>
    <w:rsid w:val="000B0B85"/>
    <w:rsid w:val="000B387D"/>
    <w:rsid w:val="000B5E66"/>
    <w:rsid w:val="000B5ED0"/>
    <w:rsid w:val="000B7D53"/>
    <w:rsid w:val="000C098F"/>
    <w:rsid w:val="000C13A5"/>
    <w:rsid w:val="000C2F03"/>
    <w:rsid w:val="000C5351"/>
    <w:rsid w:val="000C6CB1"/>
    <w:rsid w:val="000D4955"/>
    <w:rsid w:val="000D529C"/>
    <w:rsid w:val="000E27D3"/>
    <w:rsid w:val="000E2A25"/>
    <w:rsid w:val="000E39B3"/>
    <w:rsid w:val="000E597D"/>
    <w:rsid w:val="000E6157"/>
    <w:rsid w:val="000E75EE"/>
    <w:rsid w:val="000F01D5"/>
    <w:rsid w:val="000F14A7"/>
    <w:rsid w:val="000F3024"/>
    <w:rsid w:val="000F4791"/>
    <w:rsid w:val="000F5812"/>
    <w:rsid w:val="000F67E0"/>
    <w:rsid w:val="00100029"/>
    <w:rsid w:val="00100B45"/>
    <w:rsid w:val="001019D9"/>
    <w:rsid w:val="00103D43"/>
    <w:rsid w:val="001057BC"/>
    <w:rsid w:val="001076FF"/>
    <w:rsid w:val="00122805"/>
    <w:rsid w:val="00127098"/>
    <w:rsid w:val="001274C8"/>
    <w:rsid w:val="00130E14"/>
    <w:rsid w:val="00131ACA"/>
    <w:rsid w:val="001365C0"/>
    <w:rsid w:val="00136BC2"/>
    <w:rsid w:val="00136CE7"/>
    <w:rsid w:val="001405E0"/>
    <w:rsid w:val="00141876"/>
    <w:rsid w:val="001418CA"/>
    <w:rsid w:val="001426F9"/>
    <w:rsid w:val="0014459B"/>
    <w:rsid w:val="001451A4"/>
    <w:rsid w:val="00146015"/>
    <w:rsid w:val="00146542"/>
    <w:rsid w:val="00152B75"/>
    <w:rsid w:val="00156981"/>
    <w:rsid w:val="00156FCA"/>
    <w:rsid w:val="00157032"/>
    <w:rsid w:val="00160404"/>
    <w:rsid w:val="00161379"/>
    <w:rsid w:val="00161A6C"/>
    <w:rsid w:val="00162983"/>
    <w:rsid w:val="00162F3A"/>
    <w:rsid w:val="001670DB"/>
    <w:rsid w:val="0017010A"/>
    <w:rsid w:val="00170A16"/>
    <w:rsid w:val="00171092"/>
    <w:rsid w:val="001735F2"/>
    <w:rsid w:val="0017401D"/>
    <w:rsid w:val="00176306"/>
    <w:rsid w:val="00181007"/>
    <w:rsid w:val="00183BF3"/>
    <w:rsid w:val="00185A9D"/>
    <w:rsid w:val="00185E3C"/>
    <w:rsid w:val="001925EF"/>
    <w:rsid w:val="00195A83"/>
    <w:rsid w:val="00195DFE"/>
    <w:rsid w:val="0019678A"/>
    <w:rsid w:val="001A4E19"/>
    <w:rsid w:val="001B1DD4"/>
    <w:rsid w:val="001B26B2"/>
    <w:rsid w:val="001B5567"/>
    <w:rsid w:val="001B6866"/>
    <w:rsid w:val="001C27B2"/>
    <w:rsid w:val="001C7A41"/>
    <w:rsid w:val="001C7F0E"/>
    <w:rsid w:val="001E01DE"/>
    <w:rsid w:val="001E14C1"/>
    <w:rsid w:val="001E1813"/>
    <w:rsid w:val="001E3E9C"/>
    <w:rsid w:val="001E5465"/>
    <w:rsid w:val="001E77F6"/>
    <w:rsid w:val="001E7B3E"/>
    <w:rsid w:val="001F2806"/>
    <w:rsid w:val="00201071"/>
    <w:rsid w:val="00205ED6"/>
    <w:rsid w:val="0020781B"/>
    <w:rsid w:val="00213CF4"/>
    <w:rsid w:val="002141B0"/>
    <w:rsid w:val="00216A7E"/>
    <w:rsid w:val="0022078A"/>
    <w:rsid w:val="002213DE"/>
    <w:rsid w:val="0022140E"/>
    <w:rsid w:val="00221495"/>
    <w:rsid w:val="002215D6"/>
    <w:rsid w:val="0022564C"/>
    <w:rsid w:val="0022740D"/>
    <w:rsid w:val="00230268"/>
    <w:rsid w:val="00233C3B"/>
    <w:rsid w:val="002340B7"/>
    <w:rsid w:val="00235148"/>
    <w:rsid w:val="00240BEB"/>
    <w:rsid w:val="00241758"/>
    <w:rsid w:val="00241DBE"/>
    <w:rsid w:val="002425BB"/>
    <w:rsid w:val="002435EB"/>
    <w:rsid w:val="00245908"/>
    <w:rsid w:val="002560D5"/>
    <w:rsid w:val="00256F6F"/>
    <w:rsid w:val="00260C7C"/>
    <w:rsid w:val="0026264F"/>
    <w:rsid w:val="002633C0"/>
    <w:rsid w:val="00265C72"/>
    <w:rsid w:val="0026681C"/>
    <w:rsid w:val="00272A9A"/>
    <w:rsid w:val="00272BCA"/>
    <w:rsid w:val="002757B5"/>
    <w:rsid w:val="00277C93"/>
    <w:rsid w:val="00283B76"/>
    <w:rsid w:val="00286A5B"/>
    <w:rsid w:val="00286BFD"/>
    <w:rsid w:val="00292684"/>
    <w:rsid w:val="00292E94"/>
    <w:rsid w:val="0029348A"/>
    <w:rsid w:val="00293D86"/>
    <w:rsid w:val="00295572"/>
    <w:rsid w:val="002956A3"/>
    <w:rsid w:val="002A53B1"/>
    <w:rsid w:val="002A6273"/>
    <w:rsid w:val="002A7BCC"/>
    <w:rsid w:val="002B55FA"/>
    <w:rsid w:val="002B64E8"/>
    <w:rsid w:val="002B6D5C"/>
    <w:rsid w:val="002B6FE9"/>
    <w:rsid w:val="002C003D"/>
    <w:rsid w:val="002C3136"/>
    <w:rsid w:val="002C3156"/>
    <w:rsid w:val="002C6955"/>
    <w:rsid w:val="002D12B4"/>
    <w:rsid w:val="002D481C"/>
    <w:rsid w:val="002D655D"/>
    <w:rsid w:val="002E3060"/>
    <w:rsid w:val="002E3ABF"/>
    <w:rsid w:val="002E3EEF"/>
    <w:rsid w:val="002F02D4"/>
    <w:rsid w:val="002F05FB"/>
    <w:rsid w:val="002F0ABD"/>
    <w:rsid w:val="002F10B1"/>
    <w:rsid w:val="002F138C"/>
    <w:rsid w:val="002F186D"/>
    <w:rsid w:val="002F3617"/>
    <w:rsid w:val="002F3ABA"/>
    <w:rsid w:val="002F4A00"/>
    <w:rsid w:val="002F4EDB"/>
    <w:rsid w:val="002F5CE6"/>
    <w:rsid w:val="002F6D9F"/>
    <w:rsid w:val="00303A29"/>
    <w:rsid w:val="003053C3"/>
    <w:rsid w:val="00305571"/>
    <w:rsid w:val="00306985"/>
    <w:rsid w:val="00306A14"/>
    <w:rsid w:val="0031128E"/>
    <w:rsid w:val="00312AD9"/>
    <w:rsid w:val="003150D0"/>
    <w:rsid w:val="00317CB7"/>
    <w:rsid w:val="00320F4F"/>
    <w:rsid w:val="00321AED"/>
    <w:rsid w:val="0032673E"/>
    <w:rsid w:val="00330BCF"/>
    <w:rsid w:val="003314FA"/>
    <w:rsid w:val="00332279"/>
    <w:rsid w:val="00332B02"/>
    <w:rsid w:val="00341A4A"/>
    <w:rsid w:val="003447BE"/>
    <w:rsid w:val="003475A6"/>
    <w:rsid w:val="00351649"/>
    <w:rsid w:val="00354DFC"/>
    <w:rsid w:val="00356A0D"/>
    <w:rsid w:val="00357DE9"/>
    <w:rsid w:val="0036346D"/>
    <w:rsid w:val="00364090"/>
    <w:rsid w:val="00364790"/>
    <w:rsid w:val="00364BC0"/>
    <w:rsid w:val="00372309"/>
    <w:rsid w:val="00373FC6"/>
    <w:rsid w:val="003755FA"/>
    <w:rsid w:val="00375BBD"/>
    <w:rsid w:val="00376197"/>
    <w:rsid w:val="00385193"/>
    <w:rsid w:val="003865BA"/>
    <w:rsid w:val="00387043"/>
    <w:rsid w:val="003875F4"/>
    <w:rsid w:val="00392A6D"/>
    <w:rsid w:val="00392BAE"/>
    <w:rsid w:val="00393CC0"/>
    <w:rsid w:val="003A436F"/>
    <w:rsid w:val="003B0F6F"/>
    <w:rsid w:val="003B14A3"/>
    <w:rsid w:val="003B31FF"/>
    <w:rsid w:val="003B5F8E"/>
    <w:rsid w:val="003B6CA1"/>
    <w:rsid w:val="003C0795"/>
    <w:rsid w:val="003C0FF8"/>
    <w:rsid w:val="003C5C88"/>
    <w:rsid w:val="003C7089"/>
    <w:rsid w:val="003C733A"/>
    <w:rsid w:val="003D04CE"/>
    <w:rsid w:val="003D16FD"/>
    <w:rsid w:val="003D60FC"/>
    <w:rsid w:val="003E02E6"/>
    <w:rsid w:val="003E2144"/>
    <w:rsid w:val="003E3481"/>
    <w:rsid w:val="003E4B57"/>
    <w:rsid w:val="003F10E4"/>
    <w:rsid w:val="003F2D16"/>
    <w:rsid w:val="003F49E0"/>
    <w:rsid w:val="003F5187"/>
    <w:rsid w:val="003F5F68"/>
    <w:rsid w:val="003F6EA7"/>
    <w:rsid w:val="00401743"/>
    <w:rsid w:val="00402A27"/>
    <w:rsid w:val="00407509"/>
    <w:rsid w:val="00407CBB"/>
    <w:rsid w:val="0041318E"/>
    <w:rsid w:val="00413D3E"/>
    <w:rsid w:val="00414374"/>
    <w:rsid w:val="00414770"/>
    <w:rsid w:val="0041586E"/>
    <w:rsid w:val="00415939"/>
    <w:rsid w:val="004314E1"/>
    <w:rsid w:val="00435B0B"/>
    <w:rsid w:val="004366E6"/>
    <w:rsid w:val="004370E8"/>
    <w:rsid w:val="00437144"/>
    <w:rsid w:val="00440010"/>
    <w:rsid w:val="00441C4A"/>
    <w:rsid w:val="00444899"/>
    <w:rsid w:val="00444C31"/>
    <w:rsid w:val="00445FA5"/>
    <w:rsid w:val="00446464"/>
    <w:rsid w:val="0045032D"/>
    <w:rsid w:val="00450440"/>
    <w:rsid w:val="0045161A"/>
    <w:rsid w:val="00454A16"/>
    <w:rsid w:val="004554D0"/>
    <w:rsid w:val="00457785"/>
    <w:rsid w:val="004610A3"/>
    <w:rsid w:val="004638F5"/>
    <w:rsid w:val="004639C8"/>
    <w:rsid w:val="00464B83"/>
    <w:rsid w:val="00464D8D"/>
    <w:rsid w:val="00465303"/>
    <w:rsid w:val="00471DAC"/>
    <w:rsid w:val="004722D0"/>
    <w:rsid w:val="00472ACD"/>
    <w:rsid w:val="00473478"/>
    <w:rsid w:val="0047479A"/>
    <w:rsid w:val="00474A81"/>
    <w:rsid w:val="00474CB3"/>
    <w:rsid w:val="00475345"/>
    <w:rsid w:val="00476445"/>
    <w:rsid w:val="0047645F"/>
    <w:rsid w:val="0047672C"/>
    <w:rsid w:val="00477DA7"/>
    <w:rsid w:val="00480F72"/>
    <w:rsid w:val="00481231"/>
    <w:rsid w:val="004817FA"/>
    <w:rsid w:val="004828A9"/>
    <w:rsid w:val="00483CFC"/>
    <w:rsid w:val="00485E30"/>
    <w:rsid w:val="00485F0E"/>
    <w:rsid w:val="0049176C"/>
    <w:rsid w:val="00492141"/>
    <w:rsid w:val="00494212"/>
    <w:rsid w:val="004945E0"/>
    <w:rsid w:val="00494E61"/>
    <w:rsid w:val="004A0E8A"/>
    <w:rsid w:val="004A6AB9"/>
    <w:rsid w:val="004A73DF"/>
    <w:rsid w:val="004A78D6"/>
    <w:rsid w:val="004B10D3"/>
    <w:rsid w:val="004B2DA9"/>
    <w:rsid w:val="004B2FDB"/>
    <w:rsid w:val="004B3EBA"/>
    <w:rsid w:val="004B4300"/>
    <w:rsid w:val="004B5463"/>
    <w:rsid w:val="004B78EF"/>
    <w:rsid w:val="004C0EDD"/>
    <w:rsid w:val="004C360D"/>
    <w:rsid w:val="004C3A82"/>
    <w:rsid w:val="004C52C2"/>
    <w:rsid w:val="004C6DBD"/>
    <w:rsid w:val="004C7800"/>
    <w:rsid w:val="004D0F25"/>
    <w:rsid w:val="004D1E80"/>
    <w:rsid w:val="004D4CF4"/>
    <w:rsid w:val="004E1151"/>
    <w:rsid w:val="004E1DB5"/>
    <w:rsid w:val="004E22DF"/>
    <w:rsid w:val="004E5832"/>
    <w:rsid w:val="004F029C"/>
    <w:rsid w:val="004F31D1"/>
    <w:rsid w:val="004F3600"/>
    <w:rsid w:val="004F5179"/>
    <w:rsid w:val="004F6617"/>
    <w:rsid w:val="00500BE0"/>
    <w:rsid w:val="005017DC"/>
    <w:rsid w:val="00501961"/>
    <w:rsid w:val="00502C8F"/>
    <w:rsid w:val="00502E31"/>
    <w:rsid w:val="00503D96"/>
    <w:rsid w:val="0050444B"/>
    <w:rsid w:val="00507054"/>
    <w:rsid w:val="00511048"/>
    <w:rsid w:val="005118FF"/>
    <w:rsid w:val="0052700C"/>
    <w:rsid w:val="00530FF3"/>
    <w:rsid w:val="00532223"/>
    <w:rsid w:val="0053311C"/>
    <w:rsid w:val="00533527"/>
    <w:rsid w:val="00533940"/>
    <w:rsid w:val="005351A7"/>
    <w:rsid w:val="00540F66"/>
    <w:rsid w:val="005422DA"/>
    <w:rsid w:val="00546167"/>
    <w:rsid w:val="00546216"/>
    <w:rsid w:val="0055310B"/>
    <w:rsid w:val="005617A0"/>
    <w:rsid w:val="005635B2"/>
    <w:rsid w:val="00565CFD"/>
    <w:rsid w:val="00571720"/>
    <w:rsid w:val="00583D64"/>
    <w:rsid w:val="00585FCD"/>
    <w:rsid w:val="005869B5"/>
    <w:rsid w:val="0059155B"/>
    <w:rsid w:val="00592862"/>
    <w:rsid w:val="005936E9"/>
    <w:rsid w:val="005942AA"/>
    <w:rsid w:val="00597A94"/>
    <w:rsid w:val="005A28CB"/>
    <w:rsid w:val="005B2BA7"/>
    <w:rsid w:val="005B5822"/>
    <w:rsid w:val="005B6483"/>
    <w:rsid w:val="005B6C88"/>
    <w:rsid w:val="005B6EEB"/>
    <w:rsid w:val="005C4B9A"/>
    <w:rsid w:val="005C6161"/>
    <w:rsid w:val="005C621D"/>
    <w:rsid w:val="005D12B5"/>
    <w:rsid w:val="005D1307"/>
    <w:rsid w:val="005D6D89"/>
    <w:rsid w:val="005E0251"/>
    <w:rsid w:val="005E05E1"/>
    <w:rsid w:val="005E078B"/>
    <w:rsid w:val="005E208B"/>
    <w:rsid w:val="005E2AE5"/>
    <w:rsid w:val="005E3E2B"/>
    <w:rsid w:val="005E6FBB"/>
    <w:rsid w:val="005F0BAF"/>
    <w:rsid w:val="005F0E50"/>
    <w:rsid w:val="005F56B8"/>
    <w:rsid w:val="005F6630"/>
    <w:rsid w:val="0060035A"/>
    <w:rsid w:val="00600B05"/>
    <w:rsid w:val="00600D94"/>
    <w:rsid w:val="00604041"/>
    <w:rsid w:val="00604F0C"/>
    <w:rsid w:val="006050ED"/>
    <w:rsid w:val="0060524A"/>
    <w:rsid w:val="00614737"/>
    <w:rsid w:val="0061664A"/>
    <w:rsid w:val="00616920"/>
    <w:rsid w:val="00620359"/>
    <w:rsid w:val="00621965"/>
    <w:rsid w:val="0062612B"/>
    <w:rsid w:val="00627A2E"/>
    <w:rsid w:val="00630EBB"/>
    <w:rsid w:val="00631FCE"/>
    <w:rsid w:val="00632E18"/>
    <w:rsid w:val="0063519F"/>
    <w:rsid w:val="00635296"/>
    <w:rsid w:val="00636A78"/>
    <w:rsid w:val="0064078B"/>
    <w:rsid w:val="00640BA9"/>
    <w:rsid w:val="006420CF"/>
    <w:rsid w:val="00643AF0"/>
    <w:rsid w:val="0064497F"/>
    <w:rsid w:val="00645D22"/>
    <w:rsid w:val="006470BF"/>
    <w:rsid w:val="006471F9"/>
    <w:rsid w:val="006475FE"/>
    <w:rsid w:val="00651FF8"/>
    <w:rsid w:val="0065295D"/>
    <w:rsid w:val="00653879"/>
    <w:rsid w:val="00655099"/>
    <w:rsid w:val="00655B5E"/>
    <w:rsid w:val="00657DA3"/>
    <w:rsid w:val="00657E8D"/>
    <w:rsid w:val="006604C2"/>
    <w:rsid w:val="00660824"/>
    <w:rsid w:val="00663563"/>
    <w:rsid w:val="006644E2"/>
    <w:rsid w:val="00665158"/>
    <w:rsid w:val="00665F31"/>
    <w:rsid w:val="0066644C"/>
    <w:rsid w:val="00667FE8"/>
    <w:rsid w:val="00671719"/>
    <w:rsid w:val="006725E9"/>
    <w:rsid w:val="00675032"/>
    <w:rsid w:val="00682BA5"/>
    <w:rsid w:val="00684D97"/>
    <w:rsid w:val="00686BC1"/>
    <w:rsid w:val="00691A81"/>
    <w:rsid w:val="0069303B"/>
    <w:rsid w:val="0069333F"/>
    <w:rsid w:val="0069477D"/>
    <w:rsid w:val="00695264"/>
    <w:rsid w:val="006963C8"/>
    <w:rsid w:val="006966D8"/>
    <w:rsid w:val="006A5889"/>
    <w:rsid w:val="006B21F9"/>
    <w:rsid w:val="006B330B"/>
    <w:rsid w:val="006B5823"/>
    <w:rsid w:val="006B5F2F"/>
    <w:rsid w:val="006C1D4C"/>
    <w:rsid w:val="006C3642"/>
    <w:rsid w:val="006C4662"/>
    <w:rsid w:val="006C471B"/>
    <w:rsid w:val="006D2901"/>
    <w:rsid w:val="006D2907"/>
    <w:rsid w:val="006D4796"/>
    <w:rsid w:val="006D6A93"/>
    <w:rsid w:val="006D7ED0"/>
    <w:rsid w:val="006E4AB2"/>
    <w:rsid w:val="006E4DDC"/>
    <w:rsid w:val="006E539E"/>
    <w:rsid w:val="006E75FF"/>
    <w:rsid w:val="006F0B9F"/>
    <w:rsid w:val="006F0D33"/>
    <w:rsid w:val="006F34B7"/>
    <w:rsid w:val="006F39FE"/>
    <w:rsid w:val="00701A33"/>
    <w:rsid w:val="00703698"/>
    <w:rsid w:val="00703DBD"/>
    <w:rsid w:val="007054C2"/>
    <w:rsid w:val="00712909"/>
    <w:rsid w:val="0071369E"/>
    <w:rsid w:val="0071384E"/>
    <w:rsid w:val="00715F75"/>
    <w:rsid w:val="00716257"/>
    <w:rsid w:val="007263DA"/>
    <w:rsid w:val="007272C7"/>
    <w:rsid w:val="00727EF0"/>
    <w:rsid w:val="00734149"/>
    <w:rsid w:val="00736A3F"/>
    <w:rsid w:val="00736D3A"/>
    <w:rsid w:val="0074082A"/>
    <w:rsid w:val="00740A99"/>
    <w:rsid w:val="00742B23"/>
    <w:rsid w:val="00742D26"/>
    <w:rsid w:val="00743826"/>
    <w:rsid w:val="007449CA"/>
    <w:rsid w:val="00745026"/>
    <w:rsid w:val="00745761"/>
    <w:rsid w:val="00747661"/>
    <w:rsid w:val="00750741"/>
    <w:rsid w:val="007530BF"/>
    <w:rsid w:val="007538E3"/>
    <w:rsid w:val="00753D15"/>
    <w:rsid w:val="00762C6B"/>
    <w:rsid w:val="00770504"/>
    <w:rsid w:val="0077634B"/>
    <w:rsid w:val="00777B7D"/>
    <w:rsid w:val="00781DC6"/>
    <w:rsid w:val="007826C4"/>
    <w:rsid w:val="00782924"/>
    <w:rsid w:val="0078626A"/>
    <w:rsid w:val="007910AE"/>
    <w:rsid w:val="0079405F"/>
    <w:rsid w:val="00795633"/>
    <w:rsid w:val="00796303"/>
    <w:rsid w:val="007A4538"/>
    <w:rsid w:val="007A45C8"/>
    <w:rsid w:val="007A57F4"/>
    <w:rsid w:val="007A5CB7"/>
    <w:rsid w:val="007A6EFD"/>
    <w:rsid w:val="007A73D0"/>
    <w:rsid w:val="007B3452"/>
    <w:rsid w:val="007B4B36"/>
    <w:rsid w:val="007B76E7"/>
    <w:rsid w:val="007B7BCD"/>
    <w:rsid w:val="007C0892"/>
    <w:rsid w:val="007C27D1"/>
    <w:rsid w:val="007C2A36"/>
    <w:rsid w:val="007C2A89"/>
    <w:rsid w:val="007C7304"/>
    <w:rsid w:val="007D537E"/>
    <w:rsid w:val="007D7B50"/>
    <w:rsid w:val="007D7F2B"/>
    <w:rsid w:val="007E04C6"/>
    <w:rsid w:val="007E3764"/>
    <w:rsid w:val="007E7F8F"/>
    <w:rsid w:val="007F4B0F"/>
    <w:rsid w:val="007F4EAA"/>
    <w:rsid w:val="007F5841"/>
    <w:rsid w:val="008001AF"/>
    <w:rsid w:val="008018B4"/>
    <w:rsid w:val="00810A63"/>
    <w:rsid w:val="00810F7C"/>
    <w:rsid w:val="008116A5"/>
    <w:rsid w:val="00813BFA"/>
    <w:rsid w:val="00814CA9"/>
    <w:rsid w:val="008161E4"/>
    <w:rsid w:val="00822229"/>
    <w:rsid w:val="0082375E"/>
    <w:rsid w:val="00825B24"/>
    <w:rsid w:val="00830BF1"/>
    <w:rsid w:val="008314F8"/>
    <w:rsid w:val="00834017"/>
    <w:rsid w:val="00834B7B"/>
    <w:rsid w:val="008352E4"/>
    <w:rsid w:val="0084106F"/>
    <w:rsid w:val="008419C1"/>
    <w:rsid w:val="008457DD"/>
    <w:rsid w:val="00846EE2"/>
    <w:rsid w:val="00847E58"/>
    <w:rsid w:val="00852360"/>
    <w:rsid w:val="00857407"/>
    <w:rsid w:val="00857A21"/>
    <w:rsid w:val="00860F67"/>
    <w:rsid w:val="00862CAC"/>
    <w:rsid w:val="008667A0"/>
    <w:rsid w:val="008729AE"/>
    <w:rsid w:val="00874B2C"/>
    <w:rsid w:val="00875D89"/>
    <w:rsid w:val="008774F8"/>
    <w:rsid w:val="00886965"/>
    <w:rsid w:val="008870C2"/>
    <w:rsid w:val="00887239"/>
    <w:rsid w:val="0089045D"/>
    <w:rsid w:val="00890584"/>
    <w:rsid w:val="00891225"/>
    <w:rsid w:val="0089146C"/>
    <w:rsid w:val="008922FE"/>
    <w:rsid w:val="00894040"/>
    <w:rsid w:val="008957E0"/>
    <w:rsid w:val="008A2FE3"/>
    <w:rsid w:val="008B0A65"/>
    <w:rsid w:val="008B1D79"/>
    <w:rsid w:val="008B5744"/>
    <w:rsid w:val="008B5BFB"/>
    <w:rsid w:val="008B6094"/>
    <w:rsid w:val="008C2BCB"/>
    <w:rsid w:val="008C4354"/>
    <w:rsid w:val="008C5D46"/>
    <w:rsid w:val="008C6EBB"/>
    <w:rsid w:val="008D0863"/>
    <w:rsid w:val="008D1FC7"/>
    <w:rsid w:val="008D3FC6"/>
    <w:rsid w:val="008D62E7"/>
    <w:rsid w:val="008D6DB2"/>
    <w:rsid w:val="008E7223"/>
    <w:rsid w:val="008F11DF"/>
    <w:rsid w:val="008F2508"/>
    <w:rsid w:val="008F3F34"/>
    <w:rsid w:val="008F4FE1"/>
    <w:rsid w:val="008F7719"/>
    <w:rsid w:val="00900CA9"/>
    <w:rsid w:val="009078BC"/>
    <w:rsid w:val="00907A46"/>
    <w:rsid w:val="0091279F"/>
    <w:rsid w:val="00914A9E"/>
    <w:rsid w:val="009163E7"/>
    <w:rsid w:val="00917933"/>
    <w:rsid w:val="0092048E"/>
    <w:rsid w:val="0092238E"/>
    <w:rsid w:val="0092239B"/>
    <w:rsid w:val="00923067"/>
    <w:rsid w:val="0092319C"/>
    <w:rsid w:val="0092429A"/>
    <w:rsid w:val="00926F4C"/>
    <w:rsid w:val="0093176E"/>
    <w:rsid w:val="00933FAF"/>
    <w:rsid w:val="0093567A"/>
    <w:rsid w:val="00936CE1"/>
    <w:rsid w:val="00942112"/>
    <w:rsid w:val="00943AA1"/>
    <w:rsid w:val="0094563C"/>
    <w:rsid w:val="00945DC6"/>
    <w:rsid w:val="00947C3B"/>
    <w:rsid w:val="00947D68"/>
    <w:rsid w:val="0095271C"/>
    <w:rsid w:val="00952BAF"/>
    <w:rsid w:val="009536ED"/>
    <w:rsid w:val="00953714"/>
    <w:rsid w:val="009545D4"/>
    <w:rsid w:val="00956CEF"/>
    <w:rsid w:val="009612E0"/>
    <w:rsid w:val="009614F0"/>
    <w:rsid w:val="0096284D"/>
    <w:rsid w:val="009641CA"/>
    <w:rsid w:val="009650F4"/>
    <w:rsid w:val="00965512"/>
    <w:rsid w:val="009670C5"/>
    <w:rsid w:val="00972477"/>
    <w:rsid w:val="009749D7"/>
    <w:rsid w:val="00983051"/>
    <w:rsid w:val="009845F1"/>
    <w:rsid w:val="00985017"/>
    <w:rsid w:val="0098777C"/>
    <w:rsid w:val="0099226E"/>
    <w:rsid w:val="00992DEC"/>
    <w:rsid w:val="00993009"/>
    <w:rsid w:val="00993F14"/>
    <w:rsid w:val="00995E7E"/>
    <w:rsid w:val="009A3EF7"/>
    <w:rsid w:val="009A566F"/>
    <w:rsid w:val="009A581D"/>
    <w:rsid w:val="009B07B8"/>
    <w:rsid w:val="009B1A4D"/>
    <w:rsid w:val="009B365E"/>
    <w:rsid w:val="009B4692"/>
    <w:rsid w:val="009C36C8"/>
    <w:rsid w:val="009D188A"/>
    <w:rsid w:val="009D1AFE"/>
    <w:rsid w:val="009D299D"/>
    <w:rsid w:val="009D69C3"/>
    <w:rsid w:val="009D6BF2"/>
    <w:rsid w:val="009D7ABF"/>
    <w:rsid w:val="009D7AD4"/>
    <w:rsid w:val="009E10C2"/>
    <w:rsid w:val="009E2519"/>
    <w:rsid w:val="009E3F3D"/>
    <w:rsid w:val="009E4438"/>
    <w:rsid w:val="009E746D"/>
    <w:rsid w:val="009F0B60"/>
    <w:rsid w:val="00A07401"/>
    <w:rsid w:val="00A11791"/>
    <w:rsid w:val="00A12F9B"/>
    <w:rsid w:val="00A13B25"/>
    <w:rsid w:val="00A13EB5"/>
    <w:rsid w:val="00A140C9"/>
    <w:rsid w:val="00A15CAA"/>
    <w:rsid w:val="00A16289"/>
    <w:rsid w:val="00A22E2C"/>
    <w:rsid w:val="00A24F9C"/>
    <w:rsid w:val="00A27BFE"/>
    <w:rsid w:val="00A31688"/>
    <w:rsid w:val="00A32BA4"/>
    <w:rsid w:val="00A347C4"/>
    <w:rsid w:val="00A35155"/>
    <w:rsid w:val="00A364A6"/>
    <w:rsid w:val="00A37785"/>
    <w:rsid w:val="00A4574E"/>
    <w:rsid w:val="00A462EB"/>
    <w:rsid w:val="00A51AFB"/>
    <w:rsid w:val="00A52687"/>
    <w:rsid w:val="00A66388"/>
    <w:rsid w:val="00A67A92"/>
    <w:rsid w:val="00A72B8C"/>
    <w:rsid w:val="00A75641"/>
    <w:rsid w:val="00A7690A"/>
    <w:rsid w:val="00A76CB0"/>
    <w:rsid w:val="00A8227E"/>
    <w:rsid w:val="00A83365"/>
    <w:rsid w:val="00A83CC5"/>
    <w:rsid w:val="00A84ACB"/>
    <w:rsid w:val="00A85155"/>
    <w:rsid w:val="00A87429"/>
    <w:rsid w:val="00A936A2"/>
    <w:rsid w:val="00A9376F"/>
    <w:rsid w:val="00AA5AA8"/>
    <w:rsid w:val="00AB1A4F"/>
    <w:rsid w:val="00AB3479"/>
    <w:rsid w:val="00AB6856"/>
    <w:rsid w:val="00AB7F4B"/>
    <w:rsid w:val="00AC3DC6"/>
    <w:rsid w:val="00AC4970"/>
    <w:rsid w:val="00AC5A26"/>
    <w:rsid w:val="00AC630C"/>
    <w:rsid w:val="00AD1775"/>
    <w:rsid w:val="00AD1D24"/>
    <w:rsid w:val="00AD5C72"/>
    <w:rsid w:val="00AE267C"/>
    <w:rsid w:val="00AE48B3"/>
    <w:rsid w:val="00AF0B6A"/>
    <w:rsid w:val="00AF239A"/>
    <w:rsid w:val="00AF2ABB"/>
    <w:rsid w:val="00AF48BE"/>
    <w:rsid w:val="00B00A41"/>
    <w:rsid w:val="00B13E31"/>
    <w:rsid w:val="00B1551A"/>
    <w:rsid w:val="00B168A8"/>
    <w:rsid w:val="00B213F4"/>
    <w:rsid w:val="00B24A23"/>
    <w:rsid w:val="00B24E66"/>
    <w:rsid w:val="00B276CF"/>
    <w:rsid w:val="00B27838"/>
    <w:rsid w:val="00B30EC1"/>
    <w:rsid w:val="00B313F0"/>
    <w:rsid w:val="00B31E30"/>
    <w:rsid w:val="00B326DF"/>
    <w:rsid w:val="00B32A1A"/>
    <w:rsid w:val="00B378E4"/>
    <w:rsid w:val="00B37A38"/>
    <w:rsid w:val="00B40A9C"/>
    <w:rsid w:val="00B45AE0"/>
    <w:rsid w:val="00B46F00"/>
    <w:rsid w:val="00B53E5B"/>
    <w:rsid w:val="00B53F5D"/>
    <w:rsid w:val="00B54F59"/>
    <w:rsid w:val="00B57804"/>
    <w:rsid w:val="00B601A7"/>
    <w:rsid w:val="00B63D8A"/>
    <w:rsid w:val="00B658A5"/>
    <w:rsid w:val="00B66FF2"/>
    <w:rsid w:val="00B74966"/>
    <w:rsid w:val="00B85439"/>
    <w:rsid w:val="00B86137"/>
    <w:rsid w:val="00B91BD4"/>
    <w:rsid w:val="00B948D5"/>
    <w:rsid w:val="00B971A7"/>
    <w:rsid w:val="00BA0EDB"/>
    <w:rsid w:val="00BA391E"/>
    <w:rsid w:val="00BA71B6"/>
    <w:rsid w:val="00BB0014"/>
    <w:rsid w:val="00BB0643"/>
    <w:rsid w:val="00BB0B1D"/>
    <w:rsid w:val="00BB21DF"/>
    <w:rsid w:val="00BB5BA5"/>
    <w:rsid w:val="00BB693D"/>
    <w:rsid w:val="00BB6EBB"/>
    <w:rsid w:val="00BB7A1D"/>
    <w:rsid w:val="00BC17BC"/>
    <w:rsid w:val="00BC3E6D"/>
    <w:rsid w:val="00BC4700"/>
    <w:rsid w:val="00BD0CEB"/>
    <w:rsid w:val="00BD2024"/>
    <w:rsid w:val="00BD2DD7"/>
    <w:rsid w:val="00BD2F28"/>
    <w:rsid w:val="00BD698F"/>
    <w:rsid w:val="00BE1842"/>
    <w:rsid w:val="00BE27F2"/>
    <w:rsid w:val="00BE3CCD"/>
    <w:rsid w:val="00BE4CBE"/>
    <w:rsid w:val="00BE6174"/>
    <w:rsid w:val="00BF1F79"/>
    <w:rsid w:val="00BF40FB"/>
    <w:rsid w:val="00BF4C9F"/>
    <w:rsid w:val="00BF579A"/>
    <w:rsid w:val="00BF66C7"/>
    <w:rsid w:val="00BF68EB"/>
    <w:rsid w:val="00BF6D93"/>
    <w:rsid w:val="00C100A8"/>
    <w:rsid w:val="00C10AE5"/>
    <w:rsid w:val="00C10DFB"/>
    <w:rsid w:val="00C12A32"/>
    <w:rsid w:val="00C13076"/>
    <w:rsid w:val="00C149B1"/>
    <w:rsid w:val="00C14A11"/>
    <w:rsid w:val="00C163E7"/>
    <w:rsid w:val="00C179C3"/>
    <w:rsid w:val="00C20A8C"/>
    <w:rsid w:val="00C2469B"/>
    <w:rsid w:val="00C3088E"/>
    <w:rsid w:val="00C32B8D"/>
    <w:rsid w:val="00C33943"/>
    <w:rsid w:val="00C3706C"/>
    <w:rsid w:val="00C37C09"/>
    <w:rsid w:val="00C411EE"/>
    <w:rsid w:val="00C44202"/>
    <w:rsid w:val="00C4447E"/>
    <w:rsid w:val="00C538E2"/>
    <w:rsid w:val="00C54709"/>
    <w:rsid w:val="00C606B1"/>
    <w:rsid w:val="00C63DF3"/>
    <w:rsid w:val="00C66604"/>
    <w:rsid w:val="00C67B98"/>
    <w:rsid w:val="00C70F56"/>
    <w:rsid w:val="00C72A23"/>
    <w:rsid w:val="00C7343E"/>
    <w:rsid w:val="00C776AF"/>
    <w:rsid w:val="00C8182C"/>
    <w:rsid w:val="00C8301D"/>
    <w:rsid w:val="00C844C2"/>
    <w:rsid w:val="00C91B58"/>
    <w:rsid w:val="00C936B6"/>
    <w:rsid w:val="00C9385E"/>
    <w:rsid w:val="00C9494D"/>
    <w:rsid w:val="00C9586D"/>
    <w:rsid w:val="00C96913"/>
    <w:rsid w:val="00CA0B4C"/>
    <w:rsid w:val="00CA19D3"/>
    <w:rsid w:val="00CA47F7"/>
    <w:rsid w:val="00CB0BEF"/>
    <w:rsid w:val="00CB282A"/>
    <w:rsid w:val="00CB4120"/>
    <w:rsid w:val="00CB5036"/>
    <w:rsid w:val="00CB60C8"/>
    <w:rsid w:val="00CC06A2"/>
    <w:rsid w:val="00CC22D5"/>
    <w:rsid w:val="00CC29E8"/>
    <w:rsid w:val="00CC2B0F"/>
    <w:rsid w:val="00CC2F40"/>
    <w:rsid w:val="00CC3F51"/>
    <w:rsid w:val="00CC4FDB"/>
    <w:rsid w:val="00CE11CB"/>
    <w:rsid w:val="00CE79F4"/>
    <w:rsid w:val="00CF43AB"/>
    <w:rsid w:val="00CF500A"/>
    <w:rsid w:val="00CF6132"/>
    <w:rsid w:val="00CF6607"/>
    <w:rsid w:val="00D017E5"/>
    <w:rsid w:val="00D06517"/>
    <w:rsid w:val="00D06F5B"/>
    <w:rsid w:val="00D110F9"/>
    <w:rsid w:val="00D111BA"/>
    <w:rsid w:val="00D148AC"/>
    <w:rsid w:val="00D158DF"/>
    <w:rsid w:val="00D159B8"/>
    <w:rsid w:val="00D20AFA"/>
    <w:rsid w:val="00D24C8D"/>
    <w:rsid w:val="00D26724"/>
    <w:rsid w:val="00D27B44"/>
    <w:rsid w:val="00D36034"/>
    <w:rsid w:val="00D439E6"/>
    <w:rsid w:val="00D44139"/>
    <w:rsid w:val="00D453ED"/>
    <w:rsid w:val="00D45561"/>
    <w:rsid w:val="00D463B1"/>
    <w:rsid w:val="00D46F91"/>
    <w:rsid w:val="00D47919"/>
    <w:rsid w:val="00D56082"/>
    <w:rsid w:val="00D5637C"/>
    <w:rsid w:val="00D60AD9"/>
    <w:rsid w:val="00D611D6"/>
    <w:rsid w:val="00D672EC"/>
    <w:rsid w:val="00D76B53"/>
    <w:rsid w:val="00D800EC"/>
    <w:rsid w:val="00D8170C"/>
    <w:rsid w:val="00D81CA9"/>
    <w:rsid w:val="00D87DE5"/>
    <w:rsid w:val="00D91ADA"/>
    <w:rsid w:val="00D9233F"/>
    <w:rsid w:val="00D9240C"/>
    <w:rsid w:val="00D93FE6"/>
    <w:rsid w:val="00D97776"/>
    <w:rsid w:val="00DA1FA2"/>
    <w:rsid w:val="00DA30BF"/>
    <w:rsid w:val="00DA55BD"/>
    <w:rsid w:val="00DA7959"/>
    <w:rsid w:val="00DB1085"/>
    <w:rsid w:val="00DB4796"/>
    <w:rsid w:val="00DB5A23"/>
    <w:rsid w:val="00DB65B1"/>
    <w:rsid w:val="00DC2C17"/>
    <w:rsid w:val="00DC6595"/>
    <w:rsid w:val="00DC6805"/>
    <w:rsid w:val="00DD1E3C"/>
    <w:rsid w:val="00DD4C1B"/>
    <w:rsid w:val="00DD4CCB"/>
    <w:rsid w:val="00DD619A"/>
    <w:rsid w:val="00DD6A47"/>
    <w:rsid w:val="00DD7F7C"/>
    <w:rsid w:val="00DE1A96"/>
    <w:rsid w:val="00DE52BC"/>
    <w:rsid w:val="00DE605A"/>
    <w:rsid w:val="00DF30D1"/>
    <w:rsid w:val="00DF3BDD"/>
    <w:rsid w:val="00DF44B3"/>
    <w:rsid w:val="00DF4707"/>
    <w:rsid w:val="00DF56C4"/>
    <w:rsid w:val="00DF7ECF"/>
    <w:rsid w:val="00E04CAA"/>
    <w:rsid w:val="00E146BF"/>
    <w:rsid w:val="00E14D91"/>
    <w:rsid w:val="00E1624E"/>
    <w:rsid w:val="00E16979"/>
    <w:rsid w:val="00E23FF1"/>
    <w:rsid w:val="00E25A56"/>
    <w:rsid w:val="00E27176"/>
    <w:rsid w:val="00E278B6"/>
    <w:rsid w:val="00E3095F"/>
    <w:rsid w:val="00E3243E"/>
    <w:rsid w:val="00E36A5A"/>
    <w:rsid w:val="00E40654"/>
    <w:rsid w:val="00E438EB"/>
    <w:rsid w:val="00E45A5A"/>
    <w:rsid w:val="00E515C8"/>
    <w:rsid w:val="00E579AB"/>
    <w:rsid w:val="00E64496"/>
    <w:rsid w:val="00E66D4A"/>
    <w:rsid w:val="00E732FB"/>
    <w:rsid w:val="00E74BCF"/>
    <w:rsid w:val="00E74EDB"/>
    <w:rsid w:val="00E7638C"/>
    <w:rsid w:val="00E76834"/>
    <w:rsid w:val="00E76E02"/>
    <w:rsid w:val="00E776B3"/>
    <w:rsid w:val="00E81924"/>
    <w:rsid w:val="00E8327D"/>
    <w:rsid w:val="00E903D5"/>
    <w:rsid w:val="00E95355"/>
    <w:rsid w:val="00E9639F"/>
    <w:rsid w:val="00EA1938"/>
    <w:rsid w:val="00EA6386"/>
    <w:rsid w:val="00EA68C3"/>
    <w:rsid w:val="00EA79E2"/>
    <w:rsid w:val="00EB111B"/>
    <w:rsid w:val="00EB204A"/>
    <w:rsid w:val="00EB260E"/>
    <w:rsid w:val="00EB438B"/>
    <w:rsid w:val="00EB4D32"/>
    <w:rsid w:val="00EB5EF4"/>
    <w:rsid w:val="00EB726E"/>
    <w:rsid w:val="00EC02D8"/>
    <w:rsid w:val="00EC2B33"/>
    <w:rsid w:val="00EC339B"/>
    <w:rsid w:val="00EC584B"/>
    <w:rsid w:val="00EC6497"/>
    <w:rsid w:val="00EC6C00"/>
    <w:rsid w:val="00ED08C7"/>
    <w:rsid w:val="00ED1165"/>
    <w:rsid w:val="00ED2F53"/>
    <w:rsid w:val="00ED5453"/>
    <w:rsid w:val="00ED5A93"/>
    <w:rsid w:val="00EE2AA8"/>
    <w:rsid w:val="00EE420B"/>
    <w:rsid w:val="00EF08F7"/>
    <w:rsid w:val="00EF0BDF"/>
    <w:rsid w:val="00EF30B4"/>
    <w:rsid w:val="00F01A64"/>
    <w:rsid w:val="00F03861"/>
    <w:rsid w:val="00F05610"/>
    <w:rsid w:val="00F05812"/>
    <w:rsid w:val="00F14207"/>
    <w:rsid w:val="00F146C0"/>
    <w:rsid w:val="00F14F2C"/>
    <w:rsid w:val="00F204C1"/>
    <w:rsid w:val="00F22E6C"/>
    <w:rsid w:val="00F23C71"/>
    <w:rsid w:val="00F24B53"/>
    <w:rsid w:val="00F32F47"/>
    <w:rsid w:val="00F36717"/>
    <w:rsid w:val="00F373AC"/>
    <w:rsid w:val="00F37D9E"/>
    <w:rsid w:val="00F41AF1"/>
    <w:rsid w:val="00F4352E"/>
    <w:rsid w:val="00F45A9A"/>
    <w:rsid w:val="00F45F98"/>
    <w:rsid w:val="00F46459"/>
    <w:rsid w:val="00F47750"/>
    <w:rsid w:val="00F47F79"/>
    <w:rsid w:val="00F5010D"/>
    <w:rsid w:val="00F514F8"/>
    <w:rsid w:val="00F52146"/>
    <w:rsid w:val="00F56C3F"/>
    <w:rsid w:val="00F57C09"/>
    <w:rsid w:val="00F611BF"/>
    <w:rsid w:val="00F655BF"/>
    <w:rsid w:val="00F67B97"/>
    <w:rsid w:val="00F715CC"/>
    <w:rsid w:val="00F71726"/>
    <w:rsid w:val="00F73382"/>
    <w:rsid w:val="00F73CDE"/>
    <w:rsid w:val="00F75AB6"/>
    <w:rsid w:val="00F766FC"/>
    <w:rsid w:val="00F76E43"/>
    <w:rsid w:val="00F77CCC"/>
    <w:rsid w:val="00F80C1D"/>
    <w:rsid w:val="00F840B3"/>
    <w:rsid w:val="00F85DA2"/>
    <w:rsid w:val="00F868D4"/>
    <w:rsid w:val="00F87780"/>
    <w:rsid w:val="00F9231D"/>
    <w:rsid w:val="00F92975"/>
    <w:rsid w:val="00F93BF4"/>
    <w:rsid w:val="00F969EA"/>
    <w:rsid w:val="00FA15DA"/>
    <w:rsid w:val="00FA5179"/>
    <w:rsid w:val="00FA73FE"/>
    <w:rsid w:val="00FB02F2"/>
    <w:rsid w:val="00FB0AFC"/>
    <w:rsid w:val="00FB6544"/>
    <w:rsid w:val="00FB7B49"/>
    <w:rsid w:val="00FC0174"/>
    <w:rsid w:val="00FC1326"/>
    <w:rsid w:val="00FC267A"/>
    <w:rsid w:val="00FC34A0"/>
    <w:rsid w:val="00FC3547"/>
    <w:rsid w:val="00FC6761"/>
    <w:rsid w:val="00FC68EA"/>
    <w:rsid w:val="00FD0D29"/>
    <w:rsid w:val="00FE1075"/>
    <w:rsid w:val="00FE2DB1"/>
    <w:rsid w:val="00FE4CDC"/>
    <w:rsid w:val="00FE574B"/>
    <w:rsid w:val="00FE6B37"/>
    <w:rsid w:val="00FF2CD5"/>
    <w:rsid w:val="00FF32CE"/>
    <w:rsid w:val="00FF4CF8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78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List Paragraph1,Bullet Points,MAIN CONTENT,Bullet 1,OBC Bullet,List Paragraph11,List Paragraph12,F5 List Paragraph,Colorful List - Accent 11,Normal numbered"/>
    <w:basedOn w:val="Normal"/>
    <w:link w:val="ListParagraphChar"/>
    <w:uiPriority w:val="34"/>
    <w:qFormat/>
    <w:rsid w:val="009E44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14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146C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2F05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67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0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70C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0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70C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70C5"/>
    <w:rPr>
      <w:rFonts w:ascii="Tahoma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Bullet 1 Char,OBC Bullet Char,List Paragraph11 Char"/>
    <w:link w:val="ListParagraph"/>
    <w:uiPriority w:val="34"/>
    <w:qFormat/>
    <w:locked/>
    <w:rsid w:val="00EC339B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4F6617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C4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umberedparas">
    <w:name w:val="Numbered paras"/>
    <w:basedOn w:val="ListParagraph"/>
    <w:qFormat/>
    <w:rsid w:val="000F5812"/>
    <w:pPr>
      <w:numPr>
        <w:numId w:val="2"/>
      </w:numPr>
      <w:spacing w:after="120"/>
      <w:contextualSpacing w:val="0"/>
    </w:pPr>
    <w:rPr>
      <w:rFonts w:ascii="Arial" w:hAnsi="Arial" w:cs="Arial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E438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466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5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2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5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3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6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AE50-1E92-49D3-8300-C162295D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D8F3DA5B</Template>
  <TotalTime>0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Rhampton</dc:creator>
  <cp:lastModifiedBy>Crow Helena (Fuel Poverty &amp; Smart Meters)</cp:lastModifiedBy>
  <cp:revision>2</cp:revision>
  <cp:lastPrinted>2013-02-22T14:36:00Z</cp:lastPrinted>
  <dcterms:created xsi:type="dcterms:W3CDTF">2013-10-23T16:08:00Z</dcterms:created>
  <dcterms:modified xsi:type="dcterms:W3CDTF">2013-10-23T16:08:00Z</dcterms:modified>
</cp:coreProperties>
</file>